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60" w:rsidRPr="00825660" w:rsidRDefault="00825660" w:rsidP="00825660">
      <w:pPr>
        <w:widowControl w:val="0"/>
        <w:autoSpaceDE w:val="0"/>
        <w:autoSpaceDN w:val="0"/>
        <w:adjustRightInd w:val="0"/>
        <w:jc w:val="center"/>
        <w:rPr>
          <w:rFonts w:eastAsiaTheme="minorEastAsia" w:cs="Times New Roman"/>
          <w:szCs w:val="24"/>
        </w:rPr>
      </w:pPr>
      <w:bookmarkStart w:id="0" w:name="_GoBack"/>
      <w:bookmarkEnd w:id="0"/>
      <w:r w:rsidRPr="00825660">
        <w:rPr>
          <w:rFonts w:eastAsiaTheme="minorEastAsia" w:cs="Times New Roman"/>
          <w:i/>
          <w:szCs w:val="24"/>
        </w:rPr>
        <w:t>Invited Speaker</w:t>
      </w: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szCs w:val="24"/>
        </w:rPr>
        <w:t>International Symposium on Advanced Polymeric Materials 201</w:t>
      </w:r>
      <w:r>
        <w:rPr>
          <w:rFonts w:eastAsiaTheme="minorEastAsia" w:cs="Times New Roman"/>
          <w:szCs w:val="24"/>
        </w:rPr>
        <w:t>6</w:t>
      </w:r>
      <w:r w:rsidRPr="00825660">
        <w:rPr>
          <w:rFonts w:eastAsiaTheme="minorEastAsia" w:cs="Times New Roman"/>
          <w:szCs w:val="24"/>
        </w:rPr>
        <w:t xml:space="preserve"> (ISAPM 201</w:t>
      </w:r>
      <w:r>
        <w:rPr>
          <w:rFonts w:eastAsiaTheme="minorEastAsia" w:cs="Times New Roman"/>
          <w:szCs w:val="24"/>
        </w:rPr>
        <w:t>6</w:t>
      </w:r>
      <w:r w:rsidRPr="00825660">
        <w:rPr>
          <w:rFonts w:eastAsiaTheme="minorEastAsia" w:cs="Times New Roman"/>
          <w:szCs w:val="24"/>
        </w:rPr>
        <w:t>)</w:t>
      </w: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b/>
          <w:szCs w:val="24"/>
        </w:rPr>
      </w:pPr>
      <w:r w:rsidRPr="00825660">
        <w:rPr>
          <w:rFonts w:eastAsiaTheme="minorEastAsia" w:cs="Times New Roman"/>
          <w:b/>
          <w:szCs w:val="24"/>
        </w:rPr>
        <w:t>Performance Evaluation of Polyurethane-</w:t>
      </w:r>
      <w:proofErr w:type="spellStart"/>
      <w:r w:rsidRPr="00825660">
        <w:rPr>
          <w:rFonts w:eastAsiaTheme="minorEastAsia" w:cs="Times New Roman"/>
          <w:b/>
          <w:szCs w:val="24"/>
        </w:rPr>
        <w:t>Kenaf</w:t>
      </w:r>
      <w:proofErr w:type="spellEnd"/>
      <w:r w:rsidRPr="00825660">
        <w:rPr>
          <w:rFonts w:eastAsiaTheme="minorEastAsia" w:cs="Times New Roman"/>
          <w:b/>
          <w:szCs w:val="24"/>
        </w:rPr>
        <w:t xml:space="preserve"> Foam Composites for Shock Cushioning and Packaging Applications</w:t>
      </w: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proofErr w:type="spellStart"/>
      <w:r w:rsidRPr="00825660">
        <w:rPr>
          <w:rFonts w:eastAsiaTheme="minorEastAsia" w:cs="Times New Roman"/>
          <w:szCs w:val="24"/>
        </w:rPr>
        <w:t>Azlan</w:t>
      </w:r>
      <w:proofErr w:type="spellEnd"/>
      <w:r w:rsidRPr="00825660">
        <w:rPr>
          <w:rFonts w:eastAsiaTheme="minorEastAsia" w:cs="Times New Roman"/>
          <w:szCs w:val="24"/>
        </w:rPr>
        <w:t>, M.A.</w:t>
      </w:r>
      <w:r w:rsidRPr="00825660">
        <w:rPr>
          <w:rFonts w:eastAsiaTheme="minorEastAsia" w:cs="Times New Roman"/>
          <w:szCs w:val="24"/>
          <w:vertAlign w:val="superscript"/>
        </w:rPr>
        <w:t>1</w:t>
      </w:r>
      <w:r w:rsidRPr="00825660">
        <w:rPr>
          <w:rFonts w:eastAsiaTheme="minorEastAsia" w:cs="Times New Roman"/>
          <w:szCs w:val="24"/>
        </w:rPr>
        <w:t xml:space="preserve"> and David, N.V</w:t>
      </w:r>
      <w:r w:rsidRPr="00825660">
        <w:rPr>
          <w:rFonts w:eastAsiaTheme="minorEastAsia" w:cs="Times New Roman"/>
          <w:szCs w:val="24"/>
          <w:vertAlign w:val="superscript"/>
        </w:rPr>
        <w:t>2,*</w:t>
      </w:r>
      <w:r w:rsidRPr="00825660">
        <w:rPr>
          <w:rFonts w:eastAsiaTheme="minorEastAsia" w:cs="Times New Roman"/>
          <w:szCs w:val="24"/>
        </w:rPr>
        <w:t xml:space="preserve"> </w:t>
      </w: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szCs w:val="24"/>
          <w:vertAlign w:val="superscript"/>
        </w:rPr>
        <w:t>1</w:t>
      </w:r>
      <w:r w:rsidRPr="00825660">
        <w:rPr>
          <w:rFonts w:eastAsiaTheme="minorEastAsia" w:cs="Times New Roman"/>
          <w:szCs w:val="24"/>
        </w:rPr>
        <w:t xml:space="preserve">Sirim QAS International </w:t>
      </w:r>
      <w:proofErr w:type="spellStart"/>
      <w:r w:rsidRPr="00825660">
        <w:rPr>
          <w:rFonts w:eastAsiaTheme="minorEastAsia" w:cs="Times New Roman"/>
          <w:szCs w:val="24"/>
        </w:rPr>
        <w:t>Sdn</w:t>
      </w:r>
      <w:proofErr w:type="spellEnd"/>
      <w:r w:rsidRPr="00825660">
        <w:rPr>
          <w:rFonts w:eastAsiaTheme="minorEastAsia" w:cs="Times New Roman"/>
          <w:szCs w:val="24"/>
        </w:rPr>
        <w:t xml:space="preserve">. Bhd., No. 1, </w:t>
      </w:r>
      <w:proofErr w:type="spellStart"/>
      <w:r w:rsidRPr="00825660">
        <w:rPr>
          <w:rFonts w:eastAsiaTheme="minorEastAsia" w:cs="Times New Roman"/>
          <w:szCs w:val="24"/>
        </w:rPr>
        <w:t>Persiaran</w:t>
      </w:r>
      <w:proofErr w:type="spellEnd"/>
      <w:r w:rsidRPr="00825660">
        <w:rPr>
          <w:rFonts w:eastAsiaTheme="minorEastAsia" w:cs="Times New Roman"/>
          <w:szCs w:val="24"/>
        </w:rPr>
        <w:t xml:space="preserve"> </w:t>
      </w:r>
      <w:proofErr w:type="spellStart"/>
      <w:r w:rsidRPr="00825660">
        <w:rPr>
          <w:rFonts w:eastAsiaTheme="minorEastAsia" w:cs="Times New Roman"/>
          <w:szCs w:val="24"/>
        </w:rPr>
        <w:t>Dato</w:t>
      </w:r>
      <w:proofErr w:type="spellEnd"/>
      <w:r w:rsidRPr="00825660">
        <w:rPr>
          <w:rFonts w:eastAsiaTheme="minorEastAsia" w:cs="Times New Roman"/>
          <w:szCs w:val="24"/>
        </w:rPr>
        <w:t xml:space="preserve">' </w:t>
      </w:r>
      <w:proofErr w:type="spellStart"/>
      <w:r w:rsidRPr="00825660">
        <w:rPr>
          <w:rFonts w:eastAsiaTheme="minorEastAsia" w:cs="Times New Roman"/>
          <w:szCs w:val="24"/>
        </w:rPr>
        <w:t>Menteri</w:t>
      </w:r>
      <w:proofErr w:type="spellEnd"/>
      <w:proofErr w:type="gramStart"/>
      <w:r w:rsidRPr="00825660">
        <w:rPr>
          <w:rFonts w:eastAsiaTheme="minorEastAsia" w:cs="Times New Roman"/>
          <w:szCs w:val="24"/>
        </w:rPr>
        <w:t>,</w:t>
      </w:r>
      <w:proofErr w:type="gramEnd"/>
      <w:r w:rsidRPr="00825660">
        <w:rPr>
          <w:rFonts w:eastAsiaTheme="minorEastAsia" w:cs="Times New Roman"/>
          <w:szCs w:val="24"/>
        </w:rPr>
        <w:br/>
        <w:t xml:space="preserve">40000 Shah </w:t>
      </w:r>
      <w:proofErr w:type="spellStart"/>
      <w:r w:rsidRPr="00825660">
        <w:rPr>
          <w:rFonts w:eastAsiaTheme="minorEastAsia" w:cs="Times New Roman"/>
          <w:szCs w:val="24"/>
        </w:rPr>
        <w:t>Alam</w:t>
      </w:r>
      <w:proofErr w:type="spellEnd"/>
      <w:r w:rsidRPr="00825660">
        <w:rPr>
          <w:rFonts w:eastAsiaTheme="minorEastAsia" w:cs="Times New Roman"/>
          <w:szCs w:val="24"/>
        </w:rPr>
        <w:t>, Selangor Malaysia</w:t>
      </w: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szCs w:val="24"/>
          <w:vertAlign w:val="superscript"/>
        </w:rPr>
        <w:t>2</w:t>
      </w:r>
      <w:r w:rsidRPr="00825660">
        <w:rPr>
          <w:rFonts w:eastAsiaTheme="minorEastAsia" w:cs="Times New Roman"/>
          <w:szCs w:val="24"/>
        </w:rPr>
        <w:t xml:space="preserve">Faculty of Mechanical Engineering </w:t>
      </w:r>
      <w:proofErr w:type="spellStart"/>
      <w:r w:rsidRPr="00825660">
        <w:rPr>
          <w:rFonts w:eastAsiaTheme="minorEastAsia" w:cs="Times New Roman"/>
          <w:szCs w:val="24"/>
        </w:rPr>
        <w:t>Universiti</w:t>
      </w:r>
      <w:proofErr w:type="spellEnd"/>
      <w:r w:rsidRPr="00825660">
        <w:rPr>
          <w:rFonts w:eastAsiaTheme="minorEastAsia" w:cs="Times New Roman"/>
          <w:szCs w:val="24"/>
        </w:rPr>
        <w:t xml:space="preserve"> </w:t>
      </w:r>
      <w:proofErr w:type="spellStart"/>
      <w:r w:rsidRPr="00825660">
        <w:rPr>
          <w:rFonts w:eastAsiaTheme="minorEastAsia" w:cs="Times New Roman"/>
          <w:szCs w:val="24"/>
        </w:rPr>
        <w:t>Teknologi</w:t>
      </w:r>
      <w:proofErr w:type="spellEnd"/>
      <w:r w:rsidRPr="00825660">
        <w:rPr>
          <w:rFonts w:eastAsiaTheme="minorEastAsia" w:cs="Times New Roman"/>
          <w:szCs w:val="24"/>
        </w:rPr>
        <w:t xml:space="preserve"> MARA (</w:t>
      </w:r>
      <w:proofErr w:type="spellStart"/>
      <w:r w:rsidRPr="00825660">
        <w:rPr>
          <w:rFonts w:eastAsiaTheme="minorEastAsia" w:cs="Times New Roman"/>
          <w:szCs w:val="24"/>
        </w:rPr>
        <w:t>UiTM</w:t>
      </w:r>
      <w:proofErr w:type="spellEnd"/>
      <w:r w:rsidRPr="00825660">
        <w:rPr>
          <w:rFonts w:eastAsiaTheme="minorEastAsia" w:cs="Times New Roman"/>
          <w:szCs w:val="24"/>
        </w:rPr>
        <w:t xml:space="preserve">) </w:t>
      </w: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szCs w:val="24"/>
        </w:rPr>
        <w:t xml:space="preserve">40450 Shah </w:t>
      </w:r>
      <w:proofErr w:type="spellStart"/>
      <w:r w:rsidRPr="00825660">
        <w:rPr>
          <w:rFonts w:eastAsiaTheme="minorEastAsia" w:cs="Times New Roman"/>
          <w:szCs w:val="24"/>
        </w:rPr>
        <w:t>Alam</w:t>
      </w:r>
      <w:proofErr w:type="spellEnd"/>
      <w:r w:rsidRPr="00825660">
        <w:rPr>
          <w:rFonts w:eastAsiaTheme="minorEastAsia" w:cs="Times New Roman"/>
          <w:szCs w:val="24"/>
        </w:rPr>
        <w:t xml:space="preserve">, Selangor, Malaysia </w:t>
      </w: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szCs w:val="24"/>
          <w:vertAlign w:val="superscript"/>
        </w:rPr>
        <w:t>*</w:t>
      </w:r>
      <w:r w:rsidRPr="00825660">
        <w:rPr>
          <w:rFonts w:eastAsiaTheme="minorEastAsia" w:cs="Times New Roman"/>
          <w:szCs w:val="24"/>
        </w:rPr>
        <w:t>davidfkm@salam.uitm.edu.my</w:t>
      </w: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jc w:val="center"/>
        <w:rPr>
          <w:rFonts w:eastAsiaTheme="minorEastAsia" w:cs="Times New Roman"/>
          <w:szCs w:val="24"/>
        </w:rPr>
      </w:pPr>
      <w:r w:rsidRPr="00825660">
        <w:rPr>
          <w:rFonts w:eastAsiaTheme="minorEastAsia" w:cs="Times New Roman"/>
          <w:b/>
          <w:szCs w:val="24"/>
        </w:rPr>
        <w:t>ABSTRACT</w:t>
      </w:r>
    </w:p>
    <w:p w:rsidR="00825660" w:rsidRPr="00825660" w:rsidRDefault="00825660" w:rsidP="00825660">
      <w:pPr>
        <w:widowControl w:val="0"/>
        <w:autoSpaceDE w:val="0"/>
        <w:autoSpaceDN w:val="0"/>
        <w:adjustRightInd w:val="0"/>
        <w:jc w:val="center"/>
        <w:rPr>
          <w:rFonts w:eastAsiaTheme="minorEastAsia" w:cs="Times New Roman"/>
          <w:szCs w:val="24"/>
        </w:rPr>
      </w:pPr>
    </w:p>
    <w:p w:rsidR="00825660" w:rsidRPr="00825660" w:rsidRDefault="00825660" w:rsidP="00825660">
      <w:pPr>
        <w:widowControl w:val="0"/>
        <w:autoSpaceDE w:val="0"/>
        <w:autoSpaceDN w:val="0"/>
        <w:adjustRightInd w:val="0"/>
        <w:rPr>
          <w:rFonts w:eastAsiaTheme="minorEastAsia" w:cs="Times New Roman"/>
          <w:szCs w:val="24"/>
        </w:rPr>
      </w:pPr>
      <w:r w:rsidRPr="00825660">
        <w:rPr>
          <w:rFonts w:eastAsiaTheme="minorEastAsia" w:cs="Times New Roman"/>
          <w:szCs w:val="24"/>
        </w:rPr>
        <w:t xml:space="preserve">Packaging materials for logistical purposes are designed to protect electrical and electronic products and other fragile consumer goods from damages due to shock and excessive vibrations during handling and transportation. Material sustainability is often associated with the extraction of renewable resources and disposal procedures that would not damage our ecosystem. In this respect, indigenous agro-waste resources or industrial crops would be a smart alternative to fabricate lightweight and disposable green- materials at low cost. This paper chiefly presents the shock cushioning and water absorption properties of polyurethane (PU) foam composites filled with </w:t>
      </w:r>
      <w:proofErr w:type="spellStart"/>
      <w:r w:rsidRPr="00825660">
        <w:rPr>
          <w:rFonts w:eastAsiaTheme="minorEastAsia" w:cs="Times New Roman"/>
          <w:szCs w:val="24"/>
        </w:rPr>
        <w:t>kenaf</w:t>
      </w:r>
      <w:proofErr w:type="spellEnd"/>
      <w:r w:rsidRPr="00825660">
        <w:rPr>
          <w:rFonts w:eastAsiaTheme="minorEastAsia" w:cs="Times New Roman"/>
          <w:szCs w:val="24"/>
        </w:rPr>
        <w:t xml:space="preserve"> </w:t>
      </w:r>
      <w:proofErr w:type="spellStart"/>
      <w:r w:rsidRPr="00825660">
        <w:rPr>
          <w:rFonts w:eastAsiaTheme="minorEastAsia" w:cs="Times New Roman"/>
          <w:szCs w:val="24"/>
        </w:rPr>
        <w:t>fibres</w:t>
      </w:r>
      <w:proofErr w:type="spellEnd"/>
      <w:r w:rsidRPr="00825660">
        <w:rPr>
          <w:rFonts w:eastAsiaTheme="minorEastAsia" w:cs="Times New Roman"/>
          <w:szCs w:val="24"/>
        </w:rPr>
        <w:t xml:space="preserve"> and saw dust (SD). These properties are directly relevant to the use of such bio-based composites as cushioning foam for packaging materials. The PU/</w:t>
      </w:r>
      <w:proofErr w:type="spellStart"/>
      <w:r w:rsidRPr="00825660">
        <w:rPr>
          <w:rFonts w:eastAsiaTheme="minorEastAsia" w:cs="Times New Roman"/>
          <w:szCs w:val="24"/>
        </w:rPr>
        <w:t>kenaf</w:t>
      </w:r>
      <w:proofErr w:type="spellEnd"/>
      <w:r w:rsidRPr="00825660">
        <w:rPr>
          <w:rFonts w:eastAsiaTheme="minorEastAsia" w:cs="Times New Roman"/>
          <w:szCs w:val="24"/>
        </w:rPr>
        <w:t xml:space="preserve"> samples were prepared with filler size ranging between 355μm and 500μm and with 5, 10, 15, 20 and 25 wt% filler loadings. The moisture absorption properties of the composites are determined based on the ASTM-D5229 test method. The diffusion rates from the moisture absorption test are calculated using Fick’s Second Law equation. The </w:t>
      </w:r>
      <w:proofErr w:type="gramStart"/>
      <w:r w:rsidRPr="00825660">
        <w:rPr>
          <w:rFonts w:eastAsiaTheme="minorEastAsia" w:cs="Times New Roman"/>
          <w:szCs w:val="24"/>
        </w:rPr>
        <w:t>variation in the moisture absorption curve of the samples are</w:t>
      </w:r>
      <w:proofErr w:type="gramEnd"/>
      <w:r w:rsidRPr="00825660">
        <w:rPr>
          <w:rFonts w:eastAsiaTheme="minorEastAsia" w:cs="Times New Roman"/>
          <w:szCs w:val="24"/>
        </w:rPr>
        <w:t xml:space="preserve"> attributed to their cell structure. The shock cushioning test is performed in accordance with ASTM-D4168 standard for selected composites only. In this test, the composites are subjected to five static stress loading levels, i.e. 39.22, 94.9, 225.10, 320 and 398.43 kg/m</w:t>
      </w:r>
      <w:r w:rsidRPr="00825660">
        <w:rPr>
          <w:rFonts w:eastAsiaTheme="minorEastAsia" w:cs="Times New Roman"/>
          <w:szCs w:val="24"/>
          <w:vertAlign w:val="superscript"/>
        </w:rPr>
        <w:t>2</w:t>
      </w:r>
      <w:r w:rsidRPr="00825660">
        <w:rPr>
          <w:rFonts w:eastAsiaTheme="minorEastAsia" w:cs="Times New Roman"/>
          <w:szCs w:val="24"/>
        </w:rPr>
        <w:t>. The shock cushioning performance of the PU/</w:t>
      </w:r>
      <w:proofErr w:type="spellStart"/>
      <w:r w:rsidRPr="00825660">
        <w:rPr>
          <w:rFonts w:eastAsiaTheme="minorEastAsia" w:cs="Times New Roman"/>
          <w:szCs w:val="24"/>
        </w:rPr>
        <w:t>kenaf</w:t>
      </w:r>
      <w:proofErr w:type="spellEnd"/>
      <w:r w:rsidRPr="00825660">
        <w:rPr>
          <w:rFonts w:eastAsiaTheme="minorEastAsia" w:cs="Times New Roman"/>
          <w:szCs w:val="24"/>
        </w:rPr>
        <w:t xml:space="preserve"> composite is compared to that of PU/SD composite. The decelerations experienced from the drop represent the fragility factor or </w:t>
      </w:r>
      <w:r w:rsidRPr="00825660">
        <w:rPr>
          <w:rFonts w:eastAsiaTheme="minorEastAsia" w:cs="Times New Roman"/>
          <w:i/>
          <w:szCs w:val="24"/>
        </w:rPr>
        <w:t>G</w:t>
      </w:r>
      <w:r w:rsidRPr="00825660">
        <w:rPr>
          <w:rFonts w:eastAsiaTheme="minorEastAsia" w:cs="Times New Roman"/>
          <w:szCs w:val="24"/>
        </w:rPr>
        <w:t xml:space="preserve"> value of the products. The results obtained indicate that the </w:t>
      </w:r>
      <w:r w:rsidRPr="00825660">
        <w:rPr>
          <w:rFonts w:eastAsiaTheme="minorEastAsia" w:cs="Times New Roman"/>
          <w:i/>
          <w:szCs w:val="24"/>
        </w:rPr>
        <w:t>G</w:t>
      </w:r>
      <w:r w:rsidRPr="00825660">
        <w:rPr>
          <w:rFonts w:eastAsiaTheme="minorEastAsia" w:cs="Times New Roman"/>
          <w:szCs w:val="24"/>
        </w:rPr>
        <w:t xml:space="preserve"> values generally decrease with increasing static stress loading for both types of fillers. The outcome of this study signifies the potential of </w:t>
      </w:r>
      <w:proofErr w:type="spellStart"/>
      <w:r w:rsidRPr="00825660">
        <w:rPr>
          <w:rFonts w:eastAsiaTheme="minorEastAsia" w:cs="Times New Roman"/>
          <w:szCs w:val="24"/>
        </w:rPr>
        <w:t>kenaf</w:t>
      </w:r>
      <w:proofErr w:type="spellEnd"/>
      <w:r w:rsidRPr="00825660">
        <w:rPr>
          <w:rFonts w:eastAsiaTheme="minorEastAsia" w:cs="Times New Roman"/>
          <w:szCs w:val="24"/>
        </w:rPr>
        <w:t xml:space="preserve"> as fillers in PU foam for applications that have traditionally depended on 100% PU foams alone.</w:t>
      </w:r>
    </w:p>
    <w:p w:rsidR="00825660" w:rsidRPr="00825660" w:rsidRDefault="00825660" w:rsidP="00825660">
      <w:pPr>
        <w:rPr>
          <w:rFonts w:eastAsiaTheme="minorEastAsia" w:cs="Times New Roman"/>
          <w:i/>
          <w:szCs w:val="24"/>
        </w:rPr>
      </w:pPr>
    </w:p>
    <w:p w:rsidR="00825660" w:rsidRPr="00825660" w:rsidRDefault="00825660" w:rsidP="00825660">
      <w:pPr>
        <w:rPr>
          <w:rFonts w:eastAsiaTheme="minorEastAsia" w:cs="Times New Roman"/>
          <w:szCs w:val="24"/>
        </w:rPr>
      </w:pPr>
      <w:r w:rsidRPr="00825660">
        <w:rPr>
          <w:rFonts w:eastAsiaTheme="minorEastAsia" w:cs="Times New Roman"/>
          <w:b/>
          <w:i/>
          <w:szCs w:val="24"/>
        </w:rPr>
        <w:t>Keywords</w:t>
      </w:r>
      <w:r w:rsidRPr="00825660">
        <w:rPr>
          <w:rFonts w:eastAsiaTheme="minorEastAsia" w:cs="Times New Roman"/>
          <w:szCs w:val="24"/>
        </w:rPr>
        <w:t xml:space="preserve">: foam bio-composites; </w:t>
      </w:r>
      <w:proofErr w:type="spellStart"/>
      <w:r w:rsidRPr="00825660">
        <w:rPr>
          <w:rFonts w:eastAsiaTheme="minorEastAsia" w:cs="Times New Roman"/>
          <w:szCs w:val="24"/>
        </w:rPr>
        <w:t>kenaf</w:t>
      </w:r>
      <w:proofErr w:type="spellEnd"/>
      <w:r w:rsidRPr="00825660">
        <w:rPr>
          <w:rFonts w:eastAsiaTheme="minorEastAsia" w:cs="Times New Roman"/>
          <w:szCs w:val="24"/>
        </w:rPr>
        <w:t>; moisture absorption; shock cushioning; packaging</w:t>
      </w: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p w:rsidR="00825660" w:rsidRPr="00825660" w:rsidRDefault="00825660" w:rsidP="00825660">
      <w:pPr>
        <w:rPr>
          <w:rFonts w:eastAsiaTheme="minorEastAsia" w:cs="Times New Roman"/>
          <w:szCs w:val="24"/>
        </w:rPr>
      </w:pPr>
    </w:p>
    <w:sectPr w:rsidR="00825660" w:rsidRPr="00825660" w:rsidSect="002A55FB">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81" w:rsidRDefault="00464881" w:rsidP="002A55FB">
      <w:r>
        <w:separator/>
      </w:r>
    </w:p>
  </w:endnote>
  <w:endnote w:type="continuationSeparator" w:id="0">
    <w:p w:rsidR="00464881" w:rsidRDefault="00464881"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81" w:rsidRDefault="00464881" w:rsidP="002A55FB">
      <w:r>
        <w:separator/>
      </w:r>
    </w:p>
  </w:footnote>
  <w:footnote w:type="continuationSeparator" w:id="0">
    <w:p w:rsidR="00464881" w:rsidRDefault="00464881" w:rsidP="002A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769"/>
    <w:multiLevelType w:val="hybridMultilevel"/>
    <w:tmpl w:val="ADB8EC9C"/>
    <w:lvl w:ilvl="0" w:tplc="C556E92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1AB71FB"/>
    <w:multiLevelType w:val="hybridMultilevel"/>
    <w:tmpl w:val="E74C053C"/>
    <w:lvl w:ilvl="0" w:tplc="2F7CF482">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B2F771A"/>
    <w:multiLevelType w:val="hybridMultilevel"/>
    <w:tmpl w:val="EBFA8670"/>
    <w:lvl w:ilvl="0" w:tplc="5A42FF3C">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E5C2FDB"/>
    <w:multiLevelType w:val="hybridMultilevel"/>
    <w:tmpl w:val="7F706BC2"/>
    <w:lvl w:ilvl="0" w:tplc="3298465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83F7D50"/>
    <w:multiLevelType w:val="hybridMultilevel"/>
    <w:tmpl w:val="8B9665DA"/>
    <w:lvl w:ilvl="0" w:tplc="2F7CF482">
      <w:start w:val="1"/>
      <w:numFmt w:val="lowerRoman"/>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C5417C2"/>
    <w:multiLevelType w:val="hybridMultilevel"/>
    <w:tmpl w:val="2F5419C8"/>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F35A1F"/>
    <w:multiLevelType w:val="hybridMultilevel"/>
    <w:tmpl w:val="0A72F5FA"/>
    <w:lvl w:ilvl="0" w:tplc="3E9C5F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5EB2286"/>
    <w:multiLevelType w:val="hybridMultilevel"/>
    <w:tmpl w:val="6FF225D2"/>
    <w:lvl w:ilvl="0" w:tplc="0409000F">
      <w:start w:val="1"/>
      <w:numFmt w:val="decimal"/>
      <w:lvlText w:val="%1."/>
      <w:lvlJc w:val="left"/>
      <w:pPr>
        <w:ind w:left="1620" w:hanging="360"/>
      </w:pPr>
      <w:rPr>
        <w:rFonts w:hint="default"/>
        <w:b w:val="0"/>
        <w:strike w:val="0"/>
        <w:dstrike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E1E17AD"/>
    <w:multiLevelType w:val="hybridMultilevel"/>
    <w:tmpl w:val="BB704A4E"/>
    <w:lvl w:ilvl="0" w:tplc="81F2B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0C"/>
    <w:rsid w:val="00035B12"/>
    <w:rsid w:val="00092B4D"/>
    <w:rsid w:val="000B7EB2"/>
    <w:rsid w:val="00112983"/>
    <w:rsid w:val="0017127E"/>
    <w:rsid w:val="00221A7E"/>
    <w:rsid w:val="002A55FB"/>
    <w:rsid w:val="002B77B4"/>
    <w:rsid w:val="00353E31"/>
    <w:rsid w:val="00386C04"/>
    <w:rsid w:val="004277FA"/>
    <w:rsid w:val="00436403"/>
    <w:rsid w:val="00464881"/>
    <w:rsid w:val="00472C87"/>
    <w:rsid w:val="0047380D"/>
    <w:rsid w:val="00496407"/>
    <w:rsid w:val="004A3CB4"/>
    <w:rsid w:val="004B0653"/>
    <w:rsid w:val="004F5C89"/>
    <w:rsid w:val="0054216A"/>
    <w:rsid w:val="00573680"/>
    <w:rsid w:val="00586768"/>
    <w:rsid w:val="005946FF"/>
    <w:rsid w:val="00652BB1"/>
    <w:rsid w:val="00681633"/>
    <w:rsid w:val="006E2F81"/>
    <w:rsid w:val="0072714A"/>
    <w:rsid w:val="007E24F4"/>
    <w:rsid w:val="007E7981"/>
    <w:rsid w:val="0081345D"/>
    <w:rsid w:val="00825660"/>
    <w:rsid w:val="009501F8"/>
    <w:rsid w:val="009677B5"/>
    <w:rsid w:val="00995FCB"/>
    <w:rsid w:val="009E36D4"/>
    <w:rsid w:val="00A02AF8"/>
    <w:rsid w:val="00A37DD6"/>
    <w:rsid w:val="00A754AC"/>
    <w:rsid w:val="00AC3567"/>
    <w:rsid w:val="00AC5C2A"/>
    <w:rsid w:val="00B2724D"/>
    <w:rsid w:val="00B5705E"/>
    <w:rsid w:val="00B74664"/>
    <w:rsid w:val="00B83BD5"/>
    <w:rsid w:val="00C70ADE"/>
    <w:rsid w:val="00CB2080"/>
    <w:rsid w:val="00CC0A44"/>
    <w:rsid w:val="00CC44EA"/>
    <w:rsid w:val="00CD2C70"/>
    <w:rsid w:val="00D03316"/>
    <w:rsid w:val="00D346ED"/>
    <w:rsid w:val="00D363EE"/>
    <w:rsid w:val="00DC09C4"/>
    <w:rsid w:val="00E46F0C"/>
    <w:rsid w:val="00E82D19"/>
    <w:rsid w:val="00EB12B5"/>
    <w:rsid w:val="00EC5826"/>
    <w:rsid w:val="00EC607D"/>
    <w:rsid w:val="00ED2CBB"/>
    <w:rsid w:val="00F1238E"/>
    <w:rsid w:val="00F15E6B"/>
    <w:rsid w:val="00F7162D"/>
    <w:rsid w:val="00FF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C"/>
    <w:pPr>
      <w:ind w:left="720"/>
      <w:contextualSpacing/>
    </w:pPr>
  </w:style>
  <w:style w:type="paragraph" w:styleId="Header">
    <w:name w:val="header"/>
    <w:basedOn w:val="Normal"/>
    <w:link w:val="HeaderChar"/>
    <w:uiPriority w:val="99"/>
    <w:semiHidden/>
    <w:unhideWhenUsed/>
    <w:rsid w:val="002A55FB"/>
    <w:pPr>
      <w:tabs>
        <w:tab w:val="center" w:pos="4680"/>
        <w:tab w:val="right" w:pos="9360"/>
      </w:tabs>
    </w:pPr>
  </w:style>
  <w:style w:type="character" w:customStyle="1" w:styleId="HeaderChar">
    <w:name w:val="Header Char"/>
    <w:basedOn w:val="DefaultParagraphFont"/>
    <w:link w:val="Header"/>
    <w:uiPriority w:val="99"/>
    <w:semiHidden/>
    <w:rsid w:val="002A55FB"/>
    <w:rPr>
      <w:rFonts w:ascii="Times New Roman" w:hAnsi="Times New Roman"/>
      <w:sz w:val="24"/>
    </w:rPr>
  </w:style>
  <w:style w:type="paragraph" w:styleId="Footer">
    <w:name w:val="footer"/>
    <w:basedOn w:val="Normal"/>
    <w:link w:val="FooterChar"/>
    <w:uiPriority w:val="99"/>
    <w:semiHidden/>
    <w:unhideWhenUsed/>
    <w:rsid w:val="002A55FB"/>
    <w:pPr>
      <w:tabs>
        <w:tab w:val="center" w:pos="4680"/>
        <w:tab w:val="right" w:pos="9360"/>
      </w:tabs>
    </w:pPr>
  </w:style>
  <w:style w:type="character" w:customStyle="1" w:styleId="FooterChar">
    <w:name w:val="Footer Char"/>
    <w:basedOn w:val="DefaultParagraphFont"/>
    <w:link w:val="Footer"/>
    <w:uiPriority w:val="99"/>
    <w:semiHidden/>
    <w:rsid w:val="002A55FB"/>
    <w:rPr>
      <w:rFonts w:ascii="Times New Roman" w:hAnsi="Times New Roman"/>
      <w:sz w:val="24"/>
    </w:rPr>
  </w:style>
  <w:style w:type="paragraph" w:styleId="BalloonText">
    <w:name w:val="Balloon Text"/>
    <w:basedOn w:val="Normal"/>
    <w:link w:val="BalloonTextChar"/>
    <w:uiPriority w:val="99"/>
    <w:semiHidden/>
    <w:unhideWhenUsed/>
    <w:rsid w:val="00A754AC"/>
    <w:rPr>
      <w:rFonts w:ascii="Tahoma" w:hAnsi="Tahoma" w:cs="Tahoma"/>
      <w:sz w:val="16"/>
      <w:szCs w:val="16"/>
    </w:rPr>
  </w:style>
  <w:style w:type="character" w:customStyle="1" w:styleId="BalloonTextChar">
    <w:name w:val="Balloon Text Char"/>
    <w:basedOn w:val="DefaultParagraphFont"/>
    <w:link w:val="BalloonText"/>
    <w:uiPriority w:val="99"/>
    <w:semiHidden/>
    <w:rsid w:val="00A75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F8"/>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C"/>
    <w:pPr>
      <w:ind w:left="720"/>
      <w:contextualSpacing/>
    </w:pPr>
  </w:style>
  <w:style w:type="paragraph" w:styleId="Header">
    <w:name w:val="header"/>
    <w:basedOn w:val="Normal"/>
    <w:link w:val="HeaderChar"/>
    <w:uiPriority w:val="99"/>
    <w:semiHidden/>
    <w:unhideWhenUsed/>
    <w:rsid w:val="002A55FB"/>
    <w:pPr>
      <w:tabs>
        <w:tab w:val="center" w:pos="4680"/>
        <w:tab w:val="right" w:pos="9360"/>
      </w:tabs>
    </w:pPr>
  </w:style>
  <w:style w:type="character" w:customStyle="1" w:styleId="HeaderChar">
    <w:name w:val="Header Char"/>
    <w:basedOn w:val="DefaultParagraphFont"/>
    <w:link w:val="Header"/>
    <w:uiPriority w:val="99"/>
    <w:semiHidden/>
    <w:rsid w:val="002A55FB"/>
    <w:rPr>
      <w:rFonts w:ascii="Times New Roman" w:hAnsi="Times New Roman"/>
      <w:sz w:val="24"/>
    </w:rPr>
  </w:style>
  <w:style w:type="paragraph" w:styleId="Footer">
    <w:name w:val="footer"/>
    <w:basedOn w:val="Normal"/>
    <w:link w:val="FooterChar"/>
    <w:uiPriority w:val="99"/>
    <w:semiHidden/>
    <w:unhideWhenUsed/>
    <w:rsid w:val="002A55FB"/>
    <w:pPr>
      <w:tabs>
        <w:tab w:val="center" w:pos="4680"/>
        <w:tab w:val="right" w:pos="9360"/>
      </w:tabs>
    </w:pPr>
  </w:style>
  <w:style w:type="character" w:customStyle="1" w:styleId="FooterChar">
    <w:name w:val="Footer Char"/>
    <w:basedOn w:val="DefaultParagraphFont"/>
    <w:link w:val="Footer"/>
    <w:uiPriority w:val="99"/>
    <w:semiHidden/>
    <w:rsid w:val="002A55FB"/>
    <w:rPr>
      <w:rFonts w:ascii="Times New Roman" w:hAnsi="Times New Roman"/>
      <w:sz w:val="24"/>
    </w:rPr>
  </w:style>
  <w:style w:type="paragraph" w:styleId="BalloonText">
    <w:name w:val="Balloon Text"/>
    <w:basedOn w:val="Normal"/>
    <w:link w:val="BalloonTextChar"/>
    <w:uiPriority w:val="99"/>
    <w:semiHidden/>
    <w:unhideWhenUsed/>
    <w:rsid w:val="00A754AC"/>
    <w:rPr>
      <w:rFonts w:ascii="Tahoma" w:hAnsi="Tahoma" w:cs="Tahoma"/>
      <w:sz w:val="16"/>
      <w:szCs w:val="16"/>
    </w:rPr>
  </w:style>
  <w:style w:type="character" w:customStyle="1" w:styleId="BalloonTextChar">
    <w:name w:val="Balloon Text Char"/>
    <w:basedOn w:val="DefaultParagraphFont"/>
    <w:link w:val="BalloonText"/>
    <w:uiPriority w:val="99"/>
    <w:semiHidden/>
    <w:rsid w:val="00A75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Owner</cp:lastModifiedBy>
  <cp:revision>2</cp:revision>
  <dcterms:created xsi:type="dcterms:W3CDTF">2015-02-23T10:48:00Z</dcterms:created>
  <dcterms:modified xsi:type="dcterms:W3CDTF">2015-02-23T10:48:00Z</dcterms:modified>
</cp:coreProperties>
</file>