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C310" w14:textId="77777777" w:rsidR="009773D8" w:rsidRDefault="009773D8" w:rsidP="009773D8">
      <w:pPr>
        <w:pStyle w:val="a0"/>
        <w:spacing w:after="0"/>
        <w:rPr>
          <w:rFonts w:ascii="Traditional Arabic" w:hAnsi="Traditional Arabic"/>
          <w:szCs w:val="32"/>
          <w:lang w:bidi="fa-IR"/>
        </w:rPr>
      </w:pPr>
      <w:bookmarkStart w:id="0" w:name="_GoBack"/>
      <w:bookmarkEnd w:id="0"/>
    </w:p>
    <w:p w14:paraId="4D3C051E" w14:textId="77777777" w:rsidR="00027761" w:rsidRPr="00340A01" w:rsidRDefault="00027761" w:rsidP="009773D8">
      <w:pPr>
        <w:pStyle w:val="a0"/>
        <w:spacing w:after="0"/>
        <w:rPr>
          <w:rFonts w:ascii="Traditional Arabic" w:hAnsi="Traditional Arabic"/>
          <w:szCs w:val="32"/>
          <w:rtl/>
          <w:lang w:bidi="fa-IR"/>
        </w:rPr>
      </w:pPr>
      <w:r w:rsidRPr="00340A01">
        <w:rPr>
          <w:rFonts w:ascii="Traditional Arabic" w:hAnsi="Traditional Arabic"/>
          <w:szCs w:val="32"/>
          <w:rtl/>
          <w:lang w:bidi="fa-IR"/>
        </w:rPr>
        <w:t xml:space="preserve">الآثار الواردة عن عمر بن الخطاب في الربا، </w:t>
      </w:r>
      <w:r w:rsidRPr="00340A01">
        <w:rPr>
          <w:rFonts w:ascii="Traditional Arabic" w:hAnsi="Traditional Arabic"/>
          <w:szCs w:val="32"/>
          <w:rtl/>
        </w:rPr>
        <w:t>دراسة تحليلية في</w:t>
      </w:r>
      <w:r w:rsidRPr="00340A01">
        <w:rPr>
          <w:rFonts w:ascii="Traditional Arabic" w:hAnsi="Traditional Arabic"/>
          <w:szCs w:val="32"/>
          <w:rtl/>
          <w:lang w:bidi="fa-IR"/>
        </w:rPr>
        <w:t xml:space="preserve"> المعاملات التجارية المعاصرة</w:t>
      </w:r>
    </w:p>
    <w:p w14:paraId="129D349B" w14:textId="77777777" w:rsidR="00027761" w:rsidRPr="00E64570" w:rsidRDefault="00027761" w:rsidP="00340A01">
      <w:pPr>
        <w:ind w:left="4"/>
        <w:jc w:val="center"/>
        <w:rPr>
          <w:rFonts w:asciiTheme="majorBidi" w:hAnsiTheme="majorBidi" w:cstheme="majorBidi"/>
          <w:b/>
          <w:bCs/>
          <w:i/>
          <w:iCs/>
        </w:rPr>
      </w:pPr>
      <w:r w:rsidRPr="00E64570">
        <w:rPr>
          <w:rFonts w:asciiTheme="majorBidi" w:hAnsiTheme="majorBidi" w:cstheme="majorBidi"/>
          <w:b/>
          <w:bCs/>
          <w:i/>
          <w:iCs/>
        </w:rPr>
        <w:t xml:space="preserve">The sayings of Umar ibn al-Khattab on Usury: </w:t>
      </w:r>
    </w:p>
    <w:p w14:paraId="33F7D695" w14:textId="77777777" w:rsidR="00027761" w:rsidRPr="00E64570" w:rsidRDefault="00027761" w:rsidP="00340A01">
      <w:pPr>
        <w:ind w:left="4"/>
        <w:jc w:val="center"/>
        <w:rPr>
          <w:rFonts w:asciiTheme="majorBidi" w:hAnsiTheme="majorBidi" w:cstheme="majorBidi"/>
          <w:b/>
          <w:bCs/>
          <w:i/>
          <w:iCs/>
        </w:rPr>
      </w:pPr>
      <w:r w:rsidRPr="00E64570">
        <w:rPr>
          <w:rFonts w:asciiTheme="majorBidi" w:hAnsiTheme="majorBidi" w:cstheme="majorBidi"/>
          <w:b/>
          <w:bCs/>
          <w:i/>
          <w:iCs/>
        </w:rPr>
        <w:t>An Analytical Study in Contemporary Business Transactions</w:t>
      </w:r>
    </w:p>
    <w:p w14:paraId="45EFD56A" w14:textId="77777777" w:rsidR="00340A01" w:rsidRPr="004D5FB6" w:rsidRDefault="00340A01" w:rsidP="00340A01">
      <w:pPr>
        <w:ind w:left="4"/>
        <w:jc w:val="center"/>
        <w:rPr>
          <w:rFonts w:ascii="Traditional Arabic" w:hAnsi="Traditional Arabic" w:cs="Traditional Arabic"/>
          <w:b/>
          <w:bCs/>
          <w:i/>
          <w:iCs/>
        </w:rPr>
      </w:pPr>
    </w:p>
    <w:p w14:paraId="1CDB21B2" w14:textId="77777777" w:rsidR="00027761" w:rsidRPr="00027761" w:rsidRDefault="00340A01" w:rsidP="00340A01">
      <w:pPr>
        <w:tabs>
          <w:tab w:val="left" w:pos="952"/>
        </w:tabs>
        <w:bidi/>
        <w:jc w:val="center"/>
        <w:rPr>
          <w:rFonts w:ascii="Traditional Arabic" w:hAnsi="Traditional Arabic" w:cs="Traditional Arabic"/>
          <w:b/>
          <w:bCs/>
          <w:sz w:val="29"/>
          <w:szCs w:val="29"/>
        </w:rPr>
      </w:pPr>
      <w:r>
        <w:rPr>
          <w:rFonts w:ascii="Traditional Arabic" w:hAnsi="Traditional Arabic" w:cs="Traditional Arabic"/>
          <w:b/>
          <w:bCs/>
          <w:sz w:val="29"/>
          <w:szCs w:val="29"/>
          <w:rtl/>
        </w:rPr>
        <w:t>كبير غوجي، سامر سمرة</w:t>
      </w:r>
    </w:p>
    <w:p w14:paraId="1DA86981" w14:textId="77777777" w:rsidR="00027761" w:rsidRPr="00027761" w:rsidRDefault="00027761" w:rsidP="00340A01">
      <w:pPr>
        <w:tabs>
          <w:tab w:val="left" w:pos="952"/>
        </w:tabs>
        <w:bidi/>
        <w:jc w:val="center"/>
        <w:rPr>
          <w:rFonts w:ascii="Traditional Arabic" w:hAnsi="Traditional Arabic" w:cs="Traditional Arabic"/>
          <w:sz w:val="29"/>
          <w:szCs w:val="29"/>
          <w:rtl/>
        </w:rPr>
      </w:pPr>
      <w:r w:rsidRPr="00027761">
        <w:rPr>
          <w:rFonts w:ascii="Traditional Arabic" w:hAnsi="Traditional Arabic" w:cs="Traditional Arabic"/>
          <w:sz w:val="29"/>
          <w:szCs w:val="29"/>
          <w:rtl/>
        </w:rPr>
        <w:t>جامعة العلوم الإسلامية الماليزية</w:t>
      </w:r>
    </w:p>
    <w:p w14:paraId="60E44A69" w14:textId="77777777" w:rsidR="00FB4854" w:rsidRPr="00E64570" w:rsidRDefault="00340A01" w:rsidP="00340A01">
      <w:pPr>
        <w:bidi/>
        <w:jc w:val="center"/>
        <w:rPr>
          <w:rFonts w:asciiTheme="majorBidi" w:eastAsia="Calibri" w:hAnsiTheme="majorBidi" w:cstheme="majorBidi"/>
          <w:sz w:val="20"/>
          <w:szCs w:val="20"/>
        </w:rPr>
      </w:pPr>
      <w:r w:rsidRPr="00E64570">
        <w:rPr>
          <w:rFonts w:asciiTheme="majorBidi" w:eastAsia="Calibri" w:hAnsiTheme="majorBidi" w:cstheme="majorBidi"/>
          <w:sz w:val="20"/>
          <w:szCs w:val="20"/>
        </w:rPr>
        <w:t>(kabiru@usim.edu.my)</w:t>
      </w:r>
    </w:p>
    <w:p w14:paraId="3107821A" w14:textId="77777777" w:rsidR="00340A01" w:rsidRPr="00340A01" w:rsidRDefault="00340A01" w:rsidP="00340A01">
      <w:pPr>
        <w:bidi/>
        <w:jc w:val="center"/>
        <w:rPr>
          <w:rFonts w:ascii="Traditional Arabic" w:hAnsi="Traditional Arabic" w:cs="Traditional Arabic"/>
          <w:sz w:val="20"/>
          <w:szCs w:val="20"/>
        </w:rPr>
      </w:pPr>
    </w:p>
    <w:tbl>
      <w:tblPr>
        <w:tblStyle w:val="TableGrid"/>
        <w:tblW w:w="9305"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05"/>
      </w:tblGrid>
      <w:tr w:rsidR="009A201D" w:rsidRPr="00027761" w14:paraId="45053A52" w14:textId="77777777" w:rsidTr="002D05A4">
        <w:trPr>
          <w:trHeight w:val="608"/>
        </w:trPr>
        <w:tc>
          <w:tcPr>
            <w:tcW w:w="9305" w:type="dxa"/>
          </w:tcPr>
          <w:p w14:paraId="0816DEC3" w14:textId="77777777" w:rsidR="009A201D" w:rsidRPr="00027761" w:rsidRDefault="009A201D" w:rsidP="00027761">
            <w:pPr>
              <w:bidi/>
              <w:spacing w:after="100" w:afterAutospacing="1"/>
              <w:jc w:val="center"/>
              <w:rPr>
                <w:rFonts w:ascii="Traditional Arabic" w:hAnsi="Traditional Arabic" w:cs="Traditional Arabic"/>
                <w:b/>
                <w:bCs/>
                <w:sz w:val="29"/>
                <w:szCs w:val="29"/>
              </w:rPr>
            </w:pPr>
            <w:r w:rsidRPr="00027761">
              <w:rPr>
                <w:rFonts w:ascii="Traditional Arabic" w:hAnsi="Traditional Arabic" w:cs="Traditional Arabic"/>
                <w:b/>
                <w:bCs/>
                <w:sz w:val="29"/>
                <w:szCs w:val="29"/>
                <w:rtl/>
              </w:rPr>
              <w:t>ملخص البحث</w:t>
            </w:r>
          </w:p>
          <w:p w14:paraId="706CA4F8" w14:textId="77777777" w:rsidR="00027761" w:rsidRPr="00027761" w:rsidRDefault="00027761" w:rsidP="00A515FB">
            <w:pPr>
              <w:pStyle w:val="a"/>
              <w:spacing w:before="0" w:after="100" w:afterAutospacing="1"/>
              <w:ind w:right="33" w:firstLine="0"/>
              <w:rPr>
                <w:rFonts w:ascii="Traditional Arabic" w:hAnsi="Traditional Arabic"/>
                <w:sz w:val="29"/>
                <w:szCs w:val="29"/>
              </w:rPr>
            </w:pPr>
            <w:r>
              <w:rPr>
                <w:rFonts w:ascii="Traditional Arabic" w:hAnsi="Traditional Arabic" w:hint="cs"/>
                <w:sz w:val="29"/>
                <w:szCs w:val="29"/>
                <w:rtl/>
              </w:rPr>
              <w:t>يحاول</w:t>
            </w:r>
            <w:r>
              <w:rPr>
                <w:rFonts w:ascii="Traditional Arabic" w:hAnsi="Traditional Arabic"/>
                <w:sz w:val="29"/>
                <w:szCs w:val="29"/>
                <w:rtl/>
              </w:rPr>
              <w:t xml:space="preserve"> البحث </w:t>
            </w:r>
            <w:r w:rsidRPr="00027761">
              <w:rPr>
                <w:rFonts w:ascii="Traditional Arabic" w:hAnsi="Traditional Arabic"/>
                <w:sz w:val="29"/>
                <w:szCs w:val="29"/>
                <w:rtl/>
              </w:rPr>
              <w:t xml:space="preserve">دراسة الآثار الواردة عن عمر بن </w:t>
            </w:r>
            <w:r>
              <w:rPr>
                <w:rFonts w:ascii="Traditional Arabic" w:hAnsi="Traditional Arabic"/>
                <w:sz w:val="29"/>
                <w:szCs w:val="29"/>
                <w:rtl/>
              </w:rPr>
              <w:t>الخطاب - رضي الله عنه- في الربا</w:t>
            </w:r>
            <w:r w:rsidRPr="00027761">
              <w:rPr>
                <w:rFonts w:ascii="Traditional Arabic" w:hAnsi="Traditional Arabic"/>
                <w:sz w:val="29"/>
                <w:szCs w:val="29"/>
                <w:rtl/>
              </w:rPr>
              <w:t xml:space="preserve">، وكشف معالم واضحة لعلاقتها بالمعاملات </w:t>
            </w:r>
            <w:bookmarkStart w:id="1" w:name="_Hlk519777821"/>
            <w:r w:rsidRPr="00027761">
              <w:rPr>
                <w:rFonts w:ascii="Traditional Arabic" w:hAnsi="Traditional Arabic"/>
                <w:sz w:val="29"/>
                <w:szCs w:val="29"/>
                <w:rtl/>
              </w:rPr>
              <w:t>التجارية المعاصرة</w:t>
            </w:r>
            <w:bookmarkEnd w:id="1"/>
            <w:r w:rsidR="00B87203">
              <w:rPr>
                <w:rFonts w:ascii="Traditional Arabic" w:hAnsi="Traditional Arabic"/>
                <w:sz w:val="29"/>
                <w:szCs w:val="29"/>
                <w:rtl/>
              </w:rPr>
              <w:t>. وبناء على ذلك قام الب</w:t>
            </w:r>
            <w:r w:rsidRPr="00027761">
              <w:rPr>
                <w:rFonts w:ascii="Traditional Arabic" w:hAnsi="Traditional Arabic"/>
                <w:sz w:val="29"/>
                <w:szCs w:val="29"/>
                <w:rtl/>
              </w:rPr>
              <w:t>حث بتعريف الربا لغةً واصطلاحاً مع</w:t>
            </w:r>
            <w:r w:rsidR="00B87203">
              <w:rPr>
                <w:rFonts w:ascii="Traditional Arabic" w:hAnsi="Traditional Arabic"/>
                <w:sz w:val="29"/>
                <w:szCs w:val="29"/>
                <w:rtl/>
              </w:rPr>
              <w:t xml:space="preserve"> ذكر أقسامها وحكمها. ثم الب</w:t>
            </w:r>
            <w:r w:rsidRPr="00027761">
              <w:rPr>
                <w:rFonts w:ascii="Traditional Arabic" w:hAnsi="Traditional Arabic"/>
                <w:sz w:val="29"/>
                <w:szCs w:val="29"/>
                <w:rtl/>
              </w:rPr>
              <w:t>حث باستخراج هذه الآثار من كتب الحديث وشروحها ومن كتب الفقه قديما وحديثا حتى جمعها ثم رتبها على حسب دلالتها. ثم تحليل تلك الآثار بذكر أحكامها من الصحة أو الضعف معتمدا في ذلك على ما دوّنه الجهابذة من علماء الفن في هذا الجانب، كما أنه قام بدراسة فقهية لتلك الآثار، حيث يعقب كل أثر المسائل الفقهية المناسبة له، مع إيراد المستجدات من المعاملات التجارية الربوية المعاصرة تحت كل أثر إذا كان لها علاقة بدلالته الفقهية . وقد توصل الباحث إلى معرفة الاختيارات الفقهية</w:t>
            </w:r>
            <w:r w:rsidR="00D84D82">
              <w:rPr>
                <w:rFonts w:ascii="Traditional Arabic" w:hAnsi="Traditional Arabic"/>
                <w:sz w:val="29"/>
                <w:szCs w:val="29"/>
                <w:rtl/>
              </w:rPr>
              <w:t xml:space="preserve"> لعمر – رضي الله عنه – في الربا</w:t>
            </w:r>
            <w:r w:rsidRPr="00027761">
              <w:rPr>
                <w:rFonts w:ascii="Traditional Arabic" w:hAnsi="Traditional Arabic"/>
                <w:sz w:val="29"/>
                <w:szCs w:val="29"/>
                <w:rtl/>
              </w:rPr>
              <w:t xml:space="preserve">، وأن تلك الاختيارات وافقه كثير من الصحابة والعلماء من بعدهم في أغلبها. وأن عمر – رضي الله عنه – بيّن عمليا في خلافته كيف أن الشريعة الإسلامية يمكنها أن تستوعب كافة المستجدات والحوادث في كل زمان بما استحدثه من اجتهادات عظيمة في كل نواحي الحياة. </w:t>
            </w:r>
          </w:p>
          <w:p w14:paraId="1301BEE6" w14:textId="77777777" w:rsidR="00FB5360" w:rsidRPr="00027761" w:rsidRDefault="00027761" w:rsidP="00027761">
            <w:pPr>
              <w:pStyle w:val="a"/>
              <w:spacing w:before="0" w:after="100" w:afterAutospacing="1"/>
              <w:ind w:right="567" w:firstLine="0"/>
              <w:rPr>
                <w:rFonts w:ascii="Traditional Arabic" w:hAnsi="Traditional Arabic"/>
                <w:sz w:val="29"/>
                <w:szCs w:val="29"/>
                <w:rtl/>
              </w:rPr>
            </w:pPr>
            <w:r w:rsidRPr="00027761">
              <w:rPr>
                <w:rFonts w:ascii="Traditional Arabic" w:hAnsi="Traditional Arabic"/>
                <w:sz w:val="29"/>
                <w:szCs w:val="29"/>
                <w:rtl/>
              </w:rPr>
              <w:t>الكلمات المفتاحية: عمر بن الخطاب، الحديث، الآثار، الربا، الروايات</w:t>
            </w:r>
          </w:p>
        </w:tc>
      </w:tr>
      <w:tr w:rsidR="00027761" w:rsidRPr="00027761" w14:paraId="032E3E9A" w14:textId="77777777" w:rsidTr="002D05A4">
        <w:trPr>
          <w:trHeight w:val="608"/>
        </w:trPr>
        <w:tc>
          <w:tcPr>
            <w:tcW w:w="9305" w:type="dxa"/>
          </w:tcPr>
          <w:p w14:paraId="749B418A" w14:textId="77777777" w:rsidR="00027761" w:rsidRPr="00E30B81" w:rsidRDefault="00027761" w:rsidP="00027761">
            <w:pPr>
              <w:spacing w:after="100" w:afterAutospacing="1"/>
              <w:ind w:left="4"/>
              <w:jc w:val="both"/>
              <w:rPr>
                <w:rFonts w:asciiTheme="majorBidi" w:hAnsiTheme="majorBidi" w:cstheme="majorBidi"/>
                <w:i/>
                <w:iCs/>
                <w:sz w:val="20"/>
                <w:szCs w:val="20"/>
                <w:rtl/>
              </w:rPr>
            </w:pPr>
          </w:p>
        </w:tc>
      </w:tr>
    </w:tbl>
    <w:p w14:paraId="202449FA" w14:textId="77777777" w:rsidR="00726F9A" w:rsidRPr="00027761" w:rsidRDefault="00726F9A" w:rsidP="00027761">
      <w:pPr>
        <w:bidi/>
        <w:spacing w:after="100" w:afterAutospacing="1"/>
        <w:jc w:val="both"/>
        <w:rPr>
          <w:rFonts w:ascii="Traditional Arabic" w:hAnsi="Traditional Arabic" w:cs="Traditional Arabic"/>
          <w:sz w:val="29"/>
          <w:szCs w:val="29"/>
          <w:lang w:val="en-GB"/>
        </w:rPr>
        <w:sectPr w:rsidR="00726F9A" w:rsidRPr="00027761" w:rsidSect="00A16B23">
          <w:headerReference w:type="even" r:id="rId8"/>
          <w:headerReference w:type="default" r:id="rId9"/>
          <w:footerReference w:type="even" r:id="rId10"/>
          <w:footerReference w:type="default" r:id="rId11"/>
          <w:headerReference w:type="first" r:id="rId12"/>
          <w:footerReference w:type="first" r:id="rId13"/>
          <w:pgSz w:w="11906" w:h="16838"/>
          <w:pgMar w:top="1843" w:right="1558" w:bottom="1440" w:left="1800" w:header="426" w:footer="708" w:gutter="0"/>
          <w:pgNumType w:start="1"/>
          <w:cols w:space="708"/>
          <w:docGrid w:linePitch="360"/>
        </w:sectPr>
      </w:pPr>
    </w:p>
    <w:p w14:paraId="2B36BFDC" w14:textId="77777777" w:rsidR="00027761" w:rsidRPr="00027761" w:rsidRDefault="00027761" w:rsidP="00027761">
      <w:pPr>
        <w:bidi/>
        <w:spacing w:after="100" w:afterAutospacing="1"/>
        <w:jc w:val="both"/>
        <w:rPr>
          <w:rFonts w:ascii="Traditional Arabic" w:hAnsi="Traditional Arabic" w:cs="Traditional Arabic"/>
          <w:b/>
          <w:bCs/>
          <w:sz w:val="29"/>
          <w:szCs w:val="29"/>
        </w:rPr>
      </w:pPr>
      <w:r w:rsidRPr="00027761">
        <w:rPr>
          <w:rFonts w:ascii="Traditional Arabic" w:hAnsi="Traditional Arabic" w:cs="Traditional Arabic"/>
          <w:b/>
          <w:bCs/>
          <w:sz w:val="29"/>
          <w:szCs w:val="29"/>
          <w:rtl/>
        </w:rPr>
        <w:t>المقدمة:</w:t>
      </w:r>
    </w:p>
    <w:p w14:paraId="6E6B22B3" w14:textId="77777777" w:rsidR="00027761" w:rsidRPr="00027761" w:rsidRDefault="00027761" w:rsidP="00A515FB">
      <w:pPr>
        <w:pStyle w:val="a"/>
        <w:spacing w:before="0" w:after="100" w:afterAutospacing="1"/>
        <w:ind w:firstLine="0"/>
        <w:rPr>
          <w:rFonts w:ascii="Traditional Arabic" w:hAnsi="Traditional Arabic"/>
          <w:sz w:val="29"/>
          <w:szCs w:val="29"/>
          <w:rtl/>
        </w:rPr>
      </w:pPr>
      <w:r w:rsidRPr="00027761">
        <w:rPr>
          <w:rFonts w:ascii="Traditional Arabic" w:hAnsi="Traditional Arabic"/>
          <w:sz w:val="29"/>
          <w:szCs w:val="29"/>
          <w:rtl/>
        </w:rPr>
        <w:t xml:space="preserve">فمعروف أن عمر بن الخطاب </w:t>
      </w:r>
      <w:r w:rsidRPr="00027761">
        <w:rPr>
          <w:rFonts w:ascii="Traditional Arabic" w:hAnsi="Traditional Arabic"/>
          <w:sz w:val="29"/>
          <w:szCs w:val="29"/>
        </w:rPr>
        <w:t>–</w:t>
      </w:r>
      <w:r w:rsidRPr="00027761">
        <w:rPr>
          <w:rFonts w:ascii="Traditional Arabic" w:hAnsi="Traditional Arabic"/>
          <w:sz w:val="29"/>
          <w:szCs w:val="29"/>
          <w:rtl/>
        </w:rPr>
        <w:t>رضي الله عنه- ثاني قواد الخلافة الراشدة، وهو أوّل أمراء المؤمنين وأكثر من رويت عنه الآثار من الخلفاء، فموجب كونه أحد الخلفاء الراشدين يعتبر الاحتجاج بالآثار المروية عنه احتجاج بالسنة النبوية الشريفة، لقوله صلى الله عليه وسلم: ((... فعليكم بسنتي وسنة الخلفاء الراشدين المهديين ...))</w:t>
      </w:r>
      <w:r w:rsidRPr="00027761">
        <w:rPr>
          <w:rStyle w:val="FootnoteReference"/>
          <w:rFonts w:ascii="Traditional Arabic" w:hAnsi="Traditional Arabic"/>
          <w:sz w:val="29"/>
          <w:szCs w:val="29"/>
          <w:rtl/>
        </w:rPr>
        <w:footnoteReference w:id="1"/>
      </w:r>
      <w:r w:rsidRPr="00027761">
        <w:rPr>
          <w:rFonts w:ascii="Traditional Arabic" w:hAnsi="Traditional Arabic"/>
          <w:sz w:val="29"/>
          <w:szCs w:val="29"/>
          <w:rtl/>
        </w:rPr>
        <w:t xml:space="preserve">. فآثار عمر - رضي الله عنه- داخلة في دلالة هذا </w:t>
      </w:r>
      <w:r w:rsidRPr="00027761">
        <w:rPr>
          <w:rFonts w:ascii="Traditional Arabic" w:hAnsi="Traditional Arabic"/>
          <w:sz w:val="29"/>
          <w:szCs w:val="29"/>
          <w:rtl/>
        </w:rPr>
        <w:lastRenderedPageBreak/>
        <w:t>الحديث دخولا أوليّا، ومن جانب آخر فإن الآثار المروية عن عمر –رضي الله عنه - تمتاز بقربها من العهد النبوي وسلامة خلافته من الفتن السياسية مع تمتعها باحتكاك علمي ممتاز لتواجد الصحابة كبارا وصغارا فقهاء ورواة وقراء مجتمعين في مدينة رسول الله - صلى الله عليه وسلم-، وقبل تفرقهم في الأمصار، والحال التي تجعل هذه الآثار أو كثيرة منها متمتعة بإجماع الصحابة -إجماعا سكوتيا على الأقل-.</w:t>
      </w:r>
      <w:r w:rsidR="002D05A4">
        <w:rPr>
          <w:rFonts w:ascii="Traditional Arabic" w:hAnsi="Traditional Arabic" w:hint="cs"/>
          <w:sz w:val="29"/>
          <w:szCs w:val="29"/>
          <w:rtl/>
        </w:rPr>
        <w:t>...............</w:t>
      </w:r>
    </w:p>
    <w:p w14:paraId="1F1F2DAE" w14:textId="77777777" w:rsidR="00027761" w:rsidRPr="00027761" w:rsidRDefault="00027761" w:rsidP="00027761">
      <w:pPr>
        <w:bidi/>
        <w:spacing w:after="100" w:afterAutospacing="1"/>
        <w:jc w:val="both"/>
        <w:rPr>
          <w:rFonts w:ascii="Traditional Arabic" w:hAnsi="Traditional Arabic" w:cs="Traditional Arabic"/>
          <w:b/>
          <w:bCs/>
          <w:sz w:val="29"/>
          <w:szCs w:val="29"/>
          <w:rtl/>
        </w:rPr>
      </w:pPr>
      <w:r w:rsidRPr="00027761">
        <w:rPr>
          <w:rFonts w:ascii="Traditional Arabic" w:hAnsi="Traditional Arabic" w:cs="Traditional Arabic"/>
          <w:b/>
          <w:bCs/>
          <w:sz w:val="29"/>
          <w:szCs w:val="29"/>
          <w:rtl/>
        </w:rPr>
        <w:t xml:space="preserve">تعريف الرّبا لغة وشرعاً وحكمها </w:t>
      </w:r>
      <w:bookmarkStart w:id="2" w:name="_Hlk505176132"/>
      <w:r w:rsidRPr="00027761">
        <w:rPr>
          <w:rFonts w:ascii="Traditional Arabic" w:hAnsi="Traditional Arabic" w:cs="Traditional Arabic"/>
          <w:b/>
          <w:bCs/>
          <w:sz w:val="29"/>
          <w:szCs w:val="29"/>
          <w:rtl/>
        </w:rPr>
        <w:t>وأنواعها:</w:t>
      </w:r>
      <w:bookmarkEnd w:id="2"/>
    </w:p>
    <w:p w14:paraId="0A284168" w14:textId="77777777" w:rsidR="00027761" w:rsidRPr="00027761" w:rsidRDefault="00027761" w:rsidP="00A515FB">
      <w:pPr>
        <w:bidi/>
        <w:spacing w:after="100" w:afterAutospacing="1"/>
        <w:jc w:val="both"/>
        <w:rPr>
          <w:rFonts w:ascii="Traditional Arabic" w:hAnsi="Traditional Arabic" w:cs="Traditional Arabic"/>
          <w:sz w:val="29"/>
          <w:szCs w:val="29"/>
          <w:rtl/>
        </w:rPr>
      </w:pPr>
      <w:r w:rsidRPr="00027761">
        <w:rPr>
          <w:rFonts w:ascii="Traditional Arabic" w:hAnsi="Traditional Arabic" w:cs="Traditional Arabic"/>
          <w:sz w:val="29"/>
          <w:szCs w:val="29"/>
          <w:rtl/>
        </w:rPr>
        <w:t>الربا في اللغة: هو الزيادة، قال الله تعالى: ﴿فَإِذَا أَنْزَلْنَا عَلَيْهَا الْمَاءَ اهْتَزَّتْ وَرَبَتْ﴾ وقال تعالى: ﴿أَنْ تَكُونَ أُمَّةٌ هِيَ أَرْبَى مِنْ أُمَّةٍ﴾، أي أكثر عدداً يقال: ((أربى فلان على فلان، إذا زاد عليه)). وأصل الربا الزيادة، إما في نفس الشيء، وإما مقابله كدرهم بدرهمين، ويطلق الربا على كل بيعٍ محرم أيضا</w:t>
      </w:r>
      <w:r w:rsidRPr="00027761">
        <w:rPr>
          <w:rStyle w:val="FootnoteReference"/>
          <w:rFonts w:ascii="Traditional Arabic" w:hAnsi="Traditional Arabic" w:cs="Traditional Arabic"/>
          <w:sz w:val="29"/>
          <w:szCs w:val="29"/>
          <w:rtl/>
        </w:rPr>
        <w:footnoteReference w:id="2"/>
      </w:r>
      <w:r w:rsidR="00A515FB">
        <w:rPr>
          <w:rFonts w:ascii="Traditional Arabic" w:hAnsi="Traditional Arabic" w:cs="Traditional Arabic" w:hint="cs"/>
          <w:sz w:val="29"/>
          <w:szCs w:val="29"/>
          <w:rtl/>
        </w:rPr>
        <w:t>........</w:t>
      </w:r>
    </w:p>
    <w:p w14:paraId="4561FA6A" w14:textId="77777777" w:rsidR="00027761" w:rsidRPr="00027761" w:rsidRDefault="00027761" w:rsidP="00027761">
      <w:pPr>
        <w:pStyle w:val="a"/>
        <w:spacing w:before="0" w:after="100" w:afterAutospacing="1"/>
        <w:ind w:firstLine="0"/>
        <w:rPr>
          <w:rFonts w:ascii="Traditional Arabic" w:hAnsi="Traditional Arabic"/>
          <w:b/>
          <w:bCs/>
          <w:sz w:val="29"/>
          <w:szCs w:val="29"/>
          <w:rtl/>
        </w:rPr>
      </w:pPr>
      <w:r w:rsidRPr="00027761">
        <w:rPr>
          <w:rFonts w:ascii="Traditional Arabic" w:hAnsi="Traditional Arabic"/>
          <w:b/>
          <w:bCs/>
          <w:sz w:val="29"/>
          <w:szCs w:val="29"/>
          <w:rtl/>
        </w:rPr>
        <w:t xml:space="preserve">الآثار الواردة عن عمر بن الخطاب </w:t>
      </w:r>
      <w:r w:rsidRPr="00027761">
        <w:rPr>
          <w:rFonts w:ascii="Traditional Arabic" w:hAnsi="Traditional Arabic"/>
          <w:b/>
          <w:bCs/>
          <w:sz w:val="29"/>
          <w:szCs w:val="29"/>
        </w:rPr>
        <w:t>t</w:t>
      </w:r>
      <w:r w:rsidRPr="00027761">
        <w:rPr>
          <w:rFonts w:ascii="Traditional Arabic" w:hAnsi="Traditional Arabic"/>
          <w:b/>
          <w:bCs/>
          <w:sz w:val="29"/>
          <w:szCs w:val="29"/>
          <w:rtl/>
        </w:rPr>
        <w:t xml:space="preserve"> في الربا وتطبيقاتها على المعاملات التجارية المعاصرة:</w:t>
      </w:r>
    </w:p>
    <w:p w14:paraId="5AD080DC" w14:textId="77777777" w:rsidR="00027761" w:rsidRPr="00027761" w:rsidRDefault="00027761" w:rsidP="00E218DD">
      <w:pPr>
        <w:bidi/>
        <w:spacing w:after="100" w:afterAutospacing="1"/>
        <w:jc w:val="both"/>
        <w:rPr>
          <w:rFonts w:ascii="Traditional Arabic" w:hAnsi="Traditional Arabic" w:cs="Traditional Arabic"/>
          <w:b/>
          <w:bCs/>
          <w:sz w:val="29"/>
          <w:szCs w:val="29"/>
        </w:rPr>
      </w:pPr>
      <w:r w:rsidRPr="00027761">
        <w:rPr>
          <w:rFonts w:ascii="Traditional Arabic" w:hAnsi="Traditional Arabic" w:cs="Traditional Arabic"/>
          <w:sz w:val="29"/>
          <w:szCs w:val="29"/>
          <w:rtl/>
        </w:rPr>
        <w:t xml:space="preserve"> </w:t>
      </w:r>
      <w:r w:rsidRPr="00027761">
        <w:rPr>
          <w:rFonts w:ascii="Traditional Arabic" w:hAnsi="Traditional Arabic" w:cs="Traditional Arabic"/>
          <w:b/>
          <w:bCs/>
          <w:sz w:val="29"/>
          <w:szCs w:val="29"/>
          <w:rtl/>
        </w:rPr>
        <w:t>أولاً: التقابض في المجلس في بيع الأموال الربوية عند اختلاف الجنس:</w:t>
      </w:r>
    </w:p>
    <w:p w14:paraId="0BEC5549" w14:textId="77777777" w:rsidR="00027761" w:rsidRPr="00027761" w:rsidRDefault="00027761" w:rsidP="00EB342E">
      <w:pPr>
        <w:numPr>
          <w:ilvl w:val="0"/>
          <w:numId w:val="4"/>
        </w:numPr>
        <w:bidi/>
        <w:spacing w:after="100" w:afterAutospacing="1"/>
        <w:ind w:left="855"/>
        <w:jc w:val="both"/>
        <w:rPr>
          <w:rFonts w:ascii="Traditional Arabic" w:hAnsi="Traditional Arabic" w:cs="Traditional Arabic"/>
          <w:sz w:val="29"/>
          <w:szCs w:val="29"/>
          <w:rtl/>
        </w:rPr>
      </w:pPr>
      <w:r w:rsidRPr="00027761">
        <w:rPr>
          <w:rFonts w:ascii="Traditional Arabic" w:hAnsi="Traditional Arabic" w:cs="Traditional Arabic"/>
          <w:sz w:val="29"/>
          <w:szCs w:val="29"/>
          <w:rtl/>
        </w:rPr>
        <w:t>عن ابن عمر – رضي الله عنهما - أنه قال: قال عمر بن الخطاب – رضي الله عنه - «لا تبيعوا الذهب بالذهب إلا مثلا بمثل ولا تشفُّوا بعضها على بعض ولا تبيعوا الورق بالورق إلا مثلا بمثل ولا تشفوا بعضها بعض ولا تبيعوا الورق بالذهب أحدهما غائب والآخر ناجز، وان استنظرك إلى أن يلج بيته فلا تنظره إلا يدا بيد هات، وهذا إني أخشى عليكم الرب، وفي لفظ الآخر: إنّي أخاف عليكم الرّماء، والرَّماء هو الربا».</w:t>
      </w:r>
      <w:r w:rsidRPr="00027761">
        <w:rPr>
          <w:rStyle w:val="FootnoteReference"/>
          <w:rFonts w:ascii="Traditional Arabic" w:hAnsi="Traditional Arabic" w:cs="Traditional Arabic"/>
          <w:sz w:val="29"/>
          <w:szCs w:val="29"/>
          <w:rtl/>
        </w:rPr>
        <w:footnoteReference w:id="3"/>
      </w:r>
      <w:r w:rsidRPr="00027761">
        <w:rPr>
          <w:rFonts w:ascii="Traditional Arabic" w:hAnsi="Traditional Arabic" w:cs="Traditional Arabic"/>
          <w:sz w:val="29"/>
          <w:szCs w:val="29"/>
          <w:rtl/>
        </w:rPr>
        <w:t xml:space="preserve"> </w:t>
      </w:r>
      <w:r w:rsidR="00A515FB">
        <w:rPr>
          <w:rFonts w:ascii="Traditional Arabic" w:hAnsi="Traditional Arabic" w:cs="Traditional Arabic" w:hint="cs"/>
          <w:sz w:val="29"/>
          <w:szCs w:val="29"/>
          <w:rtl/>
        </w:rPr>
        <w:t>.....................ز</w:t>
      </w:r>
    </w:p>
    <w:p w14:paraId="04909170" w14:textId="77777777" w:rsidR="00027761" w:rsidRPr="00027761" w:rsidRDefault="00027761" w:rsidP="00A515FB">
      <w:pPr>
        <w:pStyle w:val="a2"/>
        <w:bidi/>
        <w:spacing w:before="0" w:after="100" w:afterAutospacing="1"/>
        <w:jc w:val="both"/>
        <w:rPr>
          <w:rFonts w:ascii="Traditional Arabic" w:hAnsi="Traditional Arabic"/>
          <w:sz w:val="29"/>
          <w:szCs w:val="29"/>
          <w:rtl/>
        </w:rPr>
      </w:pPr>
      <w:bookmarkStart w:id="3" w:name="_Toc201467580"/>
      <w:r w:rsidRPr="00027761">
        <w:rPr>
          <w:rFonts w:ascii="Traditional Arabic" w:hAnsi="Traditional Arabic"/>
          <w:sz w:val="29"/>
          <w:szCs w:val="29"/>
          <w:rtl/>
        </w:rPr>
        <w:t>فقه الآثار:</w:t>
      </w:r>
      <w:bookmarkEnd w:id="3"/>
      <w:r w:rsidRPr="00027761">
        <w:rPr>
          <w:rFonts w:ascii="Traditional Arabic" w:hAnsi="Traditional Arabic"/>
          <w:sz w:val="29"/>
          <w:szCs w:val="29"/>
          <w:rtl/>
        </w:rPr>
        <w:t xml:space="preserve"> </w:t>
      </w:r>
    </w:p>
    <w:p w14:paraId="392826D7" w14:textId="77777777" w:rsidR="00027761" w:rsidRPr="00027761" w:rsidRDefault="00027761" w:rsidP="00027761">
      <w:pPr>
        <w:pStyle w:val="a"/>
        <w:spacing w:before="0" w:after="100" w:afterAutospacing="1"/>
        <w:ind w:firstLine="0"/>
        <w:rPr>
          <w:rFonts w:ascii="Traditional Arabic" w:hAnsi="Traditional Arabic"/>
          <w:sz w:val="29"/>
          <w:szCs w:val="29"/>
        </w:rPr>
      </w:pPr>
      <w:r w:rsidRPr="00027761">
        <w:rPr>
          <w:rFonts w:ascii="Traditional Arabic" w:hAnsi="Traditional Arabic"/>
          <w:sz w:val="29"/>
          <w:szCs w:val="29"/>
          <w:rtl/>
        </w:rPr>
        <w:t>يستفاد  من هذه الآثار عن  عمر – رضي الله عنه – ثلاثة الأمور: -</w:t>
      </w:r>
    </w:p>
    <w:p w14:paraId="5466E5F0" w14:textId="77777777" w:rsidR="00027761" w:rsidRPr="00027761" w:rsidRDefault="00027761" w:rsidP="002515E9">
      <w:pPr>
        <w:pStyle w:val="a"/>
        <w:spacing w:before="0" w:after="100" w:afterAutospacing="1"/>
        <w:ind w:left="566" w:firstLine="0"/>
        <w:rPr>
          <w:rFonts w:ascii="Traditional Arabic" w:hAnsi="Traditional Arabic"/>
          <w:sz w:val="29"/>
          <w:szCs w:val="29"/>
          <w:rtl/>
        </w:rPr>
      </w:pPr>
      <w:r w:rsidRPr="00027761">
        <w:rPr>
          <w:rFonts w:ascii="Traditional Arabic" w:hAnsi="Traditional Arabic"/>
          <w:b/>
          <w:bCs/>
          <w:sz w:val="29"/>
          <w:szCs w:val="29"/>
          <w:rtl/>
        </w:rPr>
        <w:t>الأول</w:t>
      </w:r>
      <w:r w:rsidRPr="00027761">
        <w:rPr>
          <w:rFonts w:ascii="Traditional Arabic" w:hAnsi="Traditional Arabic"/>
          <w:sz w:val="29"/>
          <w:szCs w:val="29"/>
          <w:rtl/>
        </w:rPr>
        <w:t>: تحريم ربا الفضل وقد تقدم بيان عنها</w:t>
      </w:r>
    </w:p>
    <w:p w14:paraId="0A900E3E" w14:textId="77777777" w:rsidR="00027761" w:rsidRPr="00027761" w:rsidRDefault="00027761" w:rsidP="002515E9">
      <w:pPr>
        <w:pStyle w:val="a"/>
        <w:spacing w:before="0" w:after="100" w:afterAutospacing="1"/>
        <w:ind w:left="566" w:firstLine="0"/>
        <w:rPr>
          <w:rFonts w:ascii="Traditional Arabic" w:hAnsi="Traditional Arabic"/>
          <w:sz w:val="29"/>
          <w:szCs w:val="29"/>
          <w:rtl/>
        </w:rPr>
      </w:pPr>
      <w:r w:rsidRPr="00027761">
        <w:rPr>
          <w:rFonts w:ascii="Traditional Arabic" w:hAnsi="Traditional Arabic"/>
          <w:b/>
          <w:bCs/>
          <w:sz w:val="29"/>
          <w:szCs w:val="29"/>
          <w:rtl/>
        </w:rPr>
        <w:t xml:space="preserve">الثاني: </w:t>
      </w:r>
      <w:r w:rsidRPr="00027761">
        <w:rPr>
          <w:rFonts w:ascii="Traditional Arabic" w:hAnsi="Traditional Arabic"/>
          <w:sz w:val="29"/>
          <w:szCs w:val="29"/>
          <w:rtl/>
        </w:rPr>
        <w:t xml:space="preserve">تحريم ربا النسيئة وقد سبق بيانه </w:t>
      </w:r>
    </w:p>
    <w:p w14:paraId="537F2322" w14:textId="77777777" w:rsidR="00027761" w:rsidRPr="00027761" w:rsidRDefault="00027761" w:rsidP="002515E9">
      <w:pPr>
        <w:pStyle w:val="a"/>
        <w:spacing w:before="0" w:after="100" w:afterAutospacing="1"/>
        <w:ind w:left="566" w:firstLine="0"/>
        <w:rPr>
          <w:rFonts w:ascii="Traditional Arabic" w:hAnsi="Traditional Arabic"/>
          <w:sz w:val="29"/>
          <w:szCs w:val="29"/>
          <w:rtl/>
        </w:rPr>
      </w:pPr>
      <w:r w:rsidRPr="00027761">
        <w:rPr>
          <w:rFonts w:ascii="Traditional Arabic" w:hAnsi="Traditional Arabic"/>
          <w:b/>
          <w:bCs/>
          <w:sz w:val="29"/>
          <w:szCs w:val="29"/>
          <w:rtl/>
        </w:rPr>
        <w:lastRenderedPageBreak/>
        <w:t>الثالث</w:t>
      </w:r>
      <w:r w:rsidRPr="00027761">
        <w:rPr>
          <w:rFonts w:ascii="Traditional Arabic" w:hAnsi="Traditional Arabic"/>
          <w:sz w:val="29"/>
          <w:szCs w:val="29"/>
          <w:rtl/>
        </w:rPr>
        <w:t xml:space="preserve">: جواز الصرف. والصرف هو: بيع الأثمان بعضها ببعض، ويشمل بيع الذهب بالذهب والفضة بالفضة، والدولار بالدولار كما يشمل بيع الذهب بالفضة، والفضة بالذهب، والدولار بالريال وغيرها من أوراق النقدية المعاصرة. </w:t>
      </w:r>
    </w:p>
    <w:p w14:paraId="4F73BB8C" w14:textId="64992319" w:rsidR="00027761" w:rsidRPr="00027761" w:rsidRDefault="00027761" w:rsidP="00A515FB">
      <w:pPr>
        <w:pStyle w:val="a"/>
        <w:spacing w:before="0" w:after="100" w:afterAutospacing="1"/>
        <w:rPr>
          <w:rFonts w:ascii="Traditional Arabic" w:hAnsi="Traditional Arabic"/>
          <w:sz w:val="29"/>
          <w:szCs w:val="29"/>
          <w:rtl/>
        </w:rPr>
      </w:pPr>
      <w:r w:rsidRPr="00027761">
        <w:rPr>
          <w:rFonts w:ascii="Traditional Arabic" w:hAnsi="Traditional Arabic"/>
          <w:sz w:val="29"/>
          <w:szCs w:val="29"/>
          <w:rtl/>
        </w:rPr>
        <w:t xml:space="preserve">ويستفاد من هذا التعريف أمران: </w:t>
      </w:r>
      <w:r w:rsidR="00A515FB">
        <w:rPr>
          <w:rFonts w:ascii="Traditional Arabic" w:hAnsi="Traditional Arabic" w:hint="cs"/>
          <w:sz w:val="29"/>
          <w:szCs w:val="29"/>
          <w:rtl/>
        </w:rPr>
        <w:t>..................ززز</w:t>
      </w:r>
    </w:p>
    <w:p w14:paraId="25EECECA" w14:textId="77777777" w:rsidR="00027761" w:rsidRPr="00027761" w:rsidRDefault="00027761" w:rsidP="00027761">
      <w:pPr>
        <w:pStyle w:val="a2"/>
        <w:bidi/>
        <w:spacing w:before="0" w:after="100" w:afterAutospacing="1"/>
        <w:jc w:val="both"/>
        <w:rPr>
          <w:rFonts w:ascii="Traditional Arabic" w:hAnsi="Traditional Arabic"/>
          <w:sz w:val="29"/>
          <w:szCs w:val="29"/>
          <w:rtl/>
        </w:rPr>
      </w:pPr>
      <w:bookmarkStart w:id="4" w:name="_Toc201467596"/>
      <w:r w:rsidRPr="00027761">
        <w:rPr>
          <w:rFonts w:ascii="Traditional Arabic" w:hAnsi="Traditional Arabic"/>
          <w:sz w:val="29"/>
          <w:szCs w:val="29"/>
          <w:rtl/>
        </w:rPr>
        <w:t>فقه الآثار:</w:t>
      </w:r>
      <w:bookmarkEnd w:id="4"/>
      <w:r w:rsidRPr="00027761">
        <w:rPr>
          <w:rFonts w:ascii="Traditional Arabic" w:hAnsi="Traditional Arabic"/>
          <w:sz w:val="29"/>
          <w:szCs w:val="29"/>
          <w:rtl/>
        </w:rPr>
        <w:t xml:space="preserve"> </w:t>
      </w:r>
    </w:p>
    <w:p w14:paraId="557FE88F" w14:textId="77777777" w:rsidR="00027761" w:rsidRPr="00027761" w:rsidRDefault="00027761" w:rsidP="00027761">
      <w:pPr>
        <w:pStyle w:val="a"/>
        <w:spacing w:before="0" w:after="100" w:afterAutospacing="1"/>
        <w:ind w:firstLine="0"/>
        <w:rPr>
          <w:rFonts w:ascii="Traditional Arabic" w:hAnsi="Traditional Arabic"/>
          <w:sz w:val="29"/>
          <w:szCs w:val="29"/>
        </w:rPr>
      </w:pPr>
      <w:r w:rsidRPr="00027761">
        <w:rPr>
          <w:rFonts w:ascii="Traditional Arabic" w:hAnsi="Traditional Arabic"/>
          <w:sz w:val="29"/>
          <w:szCs w:val="29"/>
          <w:rtl/>
        </w:rPr>
        <w:t xml:space="preserve">دلّت هذه الآثار عن عمر </w:t>
      </w:r>
      <w:r w:rsidRPr="00027761">
        <w:rPr>
          <w:rFonts w:ascii="Traditional Arabic" w:hAnsi="Traditional Arabic"/>
          <w:sz w:val="29"/>
          <w:szCs w:val="29"/>
        </w:rPr>
        <w:t>–</w:t>
      </w:r>
      <w:r w:rsidRPr="00027761">
        <w:rPr>
          <w:rFonts w:ascii="Traditional Arabic" w:hAnsi="Traditional Arabic"/>
          <w:sz w:val="29"/>
          <w:szCs w:val="29"/>
          <w:rtl/>
        </w:rPr>
        <w:t xml:space="preserve">رضي الله عنه – على جواز اقتضاء الذهب من الورق، والورق من الذهب. والاقتضاء الذهب من الورق والعكس له حالتان: </w:t>
      </w:r>
    </w:p>
    <w:p w14:paraId="2709933D" w14:textId="77777777" w:rsidR="00027761" w:rsidRPr="00027761" w:rsidRDefault="00027761" w:rsidP="00027761">
      <w:pPr>
        <w:pStyle w:val="a"/>
        <w:spacing w:before="0" w:after="100" w:afterAutospacing="1"/>
        <w:ind w:firstLine="4"/>
        <w:rPr>
          <w:rFonts w:ascii="Traditional Arabic" w:hAnsi="Traditional Arabic"/>
          <w:sz w:val="29"/>
          <w:szCs w:val="29"/>
          <w:rtl/>
        </w:rPr>
      </w:pPr>
      <w:r w:rsidRPr="00027761">
        <w:rPr>
          <w:rFonts w:ascii="Traditional Arabic" w:hAnsi="Traditional Arabic"/>
          <w:b/>
          <w:bCs/>
          <w:sz w:val="29"/>
          <w:szCs w:val="29"/>
          <w:rtl/>
        </w:rPr>
        <w:t>الحالة الأولى</w:t>
      </w:r>
      <w:r w:rsidRPr="00027761">
        <w:rPr>
          <w:rFonts w:ascii="Traditional Arabic" w:hAnsi="Traditional Arabic"/>
          <w:sz w:val="29"/>
          <w:szCs w:val="29"/>
          <w:rtl/>
        </w:rPr>
        <w:t xml:space="preserve">: أن يقتضي الذهب من الورق أو الورق من الذهب في البيع في المجلس قبل افتراق. </w:t>
      </w:r>
    </w:p>
    <w:p w14:paraId="604BED29" w14:textId="37C28EC5" w:rsidR="00027761" w:rsidRPr="00027761" w:rsidRDefault="00027761" w:rsidP="00A515FB">
      <w:pPr>
        <w:pStyle w:val="a"/>
        <w:spacing w:before="0" w:after="100" w:afterAutospacing="1"/>
        <w:rPr>
          <w:rFonts w:ascii="Traditional Arabic" w:hAnsi="Traditional Arabic"/>
          <w:color w:val="000000"/>
          <w:sz w:val="29"/>
          <w:szCs w:val="29"/>
          <w:rtl/>
        </w:rPr>
      </w:pPr>
      <w:r w:rsidRPr="00027761">
        <w:rPr>
          <w:rFonts w:ascii="Traditional Arabic" w:hAnsi="Traditional Arabic"/>
          <w:sz w:val="29"/>
          <w:szCs w:val="29"/>
          <w:rtl/>
        </w:rPr>
        <w:t xml:space="preserve">مثاله: باع رجل سلعته بدنانير ثم يأخذ ثمن سلعته من المشتري بدراهم في المجلس. فقد أجاز ذلك عمر –كما تقدم في الأحاديث الباب- وابنه عبد الله رضي الله عنهما، وأجازه أيضا  عطاء  وطاوس  والحسن والقاسم بن محمد، و سعيد بن جبير  وإبراهيم وقتادة والزهري. وبه قال أبو حنيفة ومالك والثوري والأوزاعي والشافعي وأحمد وإسحاق  وأبو ثور. إلا أن بعضهم اشترطوا أن تكون بسعر يومها. </w:t>
      </w:r>
      <w:r w:rsidR="00A515FB">
        <w:rPr>
          <w:rFonts w:ascii="Traditional Arabic" w:hAnsi="Traditional Arabic" w:hint="cs"/>
          <w:sz w:val="29"/>
          <w:szCs w:val="29"/>
          <w:rtl/>
        </w:rPr>
        <w:t>.....................</w:t>
      </w:r>
    </w:p>
    <w:p w14:paraId="5BD6382D" w14:textId="77777777" w:rsidR="00027761" w:rsidRPr="00027761" w:rsidRDefault="00027761" w:rsidP="00027761">
      <w:pPr>
        <w:pStyle w:val="a"/>
        <w:spacing w:before="0" w:after="100" w:afterAutospacing="1"/>
        <w:ind w:firstLine="4"/>
        <w:rPr>
          <w:rFonts w:ascii="Traditional Arabic" w:hAnsi="Traditional Arabic"/>
          <w:b/>
          <w:bCs/>
          <w:color w:val="000000"/>
          <w:sz w:val="29"/>
          <w:szCs w:val="29"/>
          <w:rtl/>
        </w:rPr>
      </w:pPr>
      <w:r w:rsidRPr="00027761">
        <w:rPr>
          <w:rFonts w:ascii="Traditional Arabic" w:hAnsi="Traditional Arabic"/>
          <w:b/>
          <w:bCs/>
          <w:color w:val="000000"/>
          <w:sz w:val="29"/>
          <w:szCs w:val="29"/>
          <w:rtl/>
        </w:rPr>
        <w:t>الخاتمة:</w:t>
      </w:r>
    </w:p>
    <w:p w14:paraId="443600F8" w14:textId="77777777" w:rsidR="00027761" w:rsidRPr="00027761" w:rsidRDefault="00027761" w:rsidP="00027761">
      <w:pPr>
        <w:pStyle w:val="a"/>
        <w:spacing w:before="0" w:after="100" w:afterAutospacing="1"/>
        <w:ind w:firstLine="0"/>
        <w:rPr>
          <w:rFonts w:ascii="Traditional Arabic" w:hAnsi="Traditional Arabic"/>
          <w:color w:val="000000"/>
          <w:sz w:val="29"/>
          <w:szCs w:val="29"/>
          <w:rtl/>
        </w:rPr>
      </w:pPr>
      <w:r w:rsidRPr="00027761">
        <w:rPr>
          <w:rFonts w:ascii="Traditional Arabic" w:hAnsi="Traditional Arabic"/>
          <w:sz w:val="29"/>
          <w:szCs w:val="29"/>
          <w:rtl/>
        </w:rPr>
        <w:t>فمجمل نتائج هذا البحث فيما يأتي:</w:t>
      </w:r>
    </w:p>
    <w:p w14:paraId="66D01623" w14:textId="77777777" w:rsidR="00027761" w:rsidRPr="00027761" w:rsidRDefault="00027761" w:rsidP="00027761">
      <w:pPr>
        <w:bidi/>
        <w:spacing w:after="100" w:afterAutospacing="1"/>
        <w:jc w:val="both"/>
        <w:rPr>
          <w:rFonts w:ascii="Traditional Arabic" w:hAnsi="Traditional Arabic" w:cs="Traditional Arabic"/>
          <w:sz w:val="29"/>
          <w:szCs w:val="29"/>
        </w:rPr>
      </w:pPr>
      <w:r w:rsidRPr="00027761">
        <w:rPr>
          <w:rFonts w:ascii="Traditional Arabic" w:hAnsi="Traditional Arabic" w:cs="Traditional Arabic"/>
          <w:sz w:val="29"/>
          <w:szCs w:val="29"/>
          <w:rtl/>
        </w:rPr>
        <w:t xml:space="preserve">1 - جريان الربا في العملة الورقية المعاصرة، كما كانت تجري في الذهب والفضة، لأن العلة في جريان الربا في الذهب والفضة- على راجح- هو مطلق الثمنية. </w:t>
      </w:r>
    </w:p>
    <w:p w14:paraId="0D38BFDD" w14:textId="7B74A009" w:rsidR="001B22F4" w:rsidRPr="00A515FB" w:rsidRDefault="00027761" w:rsidP="00A515FB">
      <w:pPr>
        <w:bidi/>
        <w:spacing w:after="100" w:afterAutospacing="1"/>
        <w:jc w:val="both"/>
        <w:rPr>
          <w:rFonts w:ascii="Traditional Arabic" w:hAnsi="Traditional Arabic" w:cs="Traditional Arabic"/>
          <w:sz w:val="29"/>
          <w:szCs w:val="29"/>
        </w:rPr>
      </w:pPr>
      <w:r w:rsidRPr="00027761">
        <w:rPr>
          <w:rFonts w:ascii="Traditional Arabic" w:hAnsi="Traditional Arabic" w:cs="Traditional Arabic"/>
          <w:sz w:val="29"/>
          <w:szCs w:val="29"/>
          <w:rtl/>
        </w:rPr>
        <w:t>2 - أن الفوائد التي تعطى البنوك على أموال المودعة لديها أو الفائدة التي تأخذها البنوك عن المدين الذي عجز عن السداد الدين مقابل تأجيله، وكلا الصورتان حرم لأنهما من ربا القروض.</w:t>
      </w:r>
      <w:r w:rsidR="00A515FB">
        <w:rPr>
          <w:rFonts w:ascii="Traditional Arabic" w:hAnsi="Traditional Arabic" w:cs="Traditional Arabic" w:hint="cs"/>
          <w:sz w:val="29"/>
          <w:szCs w:val="29"/>
          <w:rtl/>
        </w:rPr>
        <w:t>..........</w:t>
      </w:r>
    </w:p>
    <w:p w14:paraId="5525391B" w14:textId="77777777" w:rsidR="00027761" w:rsidRPr="00027761" w:rsidRDefault="00027761" w:rsidP="001B22F4">
      <w:pPr>
        <w:bidi/>
        <w:spacing w:after="160" w:line="259" w:lineRule="auto"/>
        <w:rPr>
          <w:rFonts w:ascii="Traditional Arabic" w:hAnsi="Traditional Arabic" w:cs="Traditional Arabic"/>
          <w:b/>
          <w:bCs/>
          <w:sz w:val="29"/>
          <w:szCs w:val="29"/>
        </w:rPr>
      </w:pPr>
      <w:r w:rsidRPr="00027761">
        <w:rPr>
          <w:rFonts w:ascii="Traditional Arabic" w:hAnsi="Traditional Arabic" w:cs="Traditional Arabic"/>
          <w:b/>
          <w:bCs/>
          <w:sz w:val="29"/>
          <w:szCs w:val="29"/>
          <w:rtl/>
        </w:rPr>
        <w:t>المراجع والمصادر:</w:t>
      </w:r>
    </w:p>
    <w:p w14:paraId="100CA704" w14:textId="77777777" w:rsidR="00027761" w:rsidRPr="00027761" w:rsidRDefault="00027761" w:rsidP="00027761">
      <w:pPr>
        <w:bidi/>
        <w:spacing w:after="100" w:afterAutospacing="1"/>
        <w:ind w:left="855" w:hanging="709"/>
        <w:jc w:val="both"/>
        <w:rPr>
          <w:rFonts w:ascii="Traditional Arabic" w:hAnsi="Traditional Arabic" w:cs="Traditional Arabic"/>
          <w:sz w:val="29"/>
          <w:szCs w:val="29"/>
          <w:rtl/>
        </w:rPr>
      </w:pPr>
      <w:r w:rsidRPr="00027761">
        <w:rPr>
          <w:rFonts w:ascii="Traditional Arabic" w:hAnsi="Traditional Arabic" w:cs="Traditional Arabic"/>
          <w:sz w:val="29"/>
          <w:szCs w:val="29"/>
          <w:rtl/>
        </w:rPr>
        <w:t xml:space="preserve">أبو داود، سليمان بن الأشعث أبو داود السجستاني الأزدي، سنن أبي داود، دار الفكر بتحقيق محمد محيي الدين عبد الحميد. </w:t>
      </w:r>
    </w:p>
    <w:p w14:paraId="506FEEA3" w14:textId="77777777" w:rsidR="00027761" w:rsidRPr="00027761" w:rsidRDefault="00027761" w:rsidP="00027761">
      <w:pPr>
        <w:bidi/>
        <w:spacing w:after="100" w:afterAutospacing="1"/>
        <w:ind w:left="855" w:hanging="709"/>
        <w:jc w:val="both"/>
        <w:rPr>
          <w:rFonts w:ascii="Traditional Arabic" w:hAnsi="Traditional Arabic" w:cs="Traditional Arabic"/>
          <w:sz w:val="29"/>
          <w:szCs w:val="29"/>
          <w:rtl/>
        </w:rPr>
      </w:pPr>
      <w:r w:rsidRPr="00027761">
        <w:rPr>
          <w:rFonts w:ascii="Traditional Arabic" w:hAnsi="Traditional Arabic" w:cs="Traditional Arabic"/>
          <w:sz w:val="29"/>
          <w:szCs w:val="29"/>
          <w:rtl/>
        </w:rPr>
        <w:t>ابن أبي شيبة، أبو بكر عبد الله بن أبي شيبة الكوفي، مصنف ابن أبي شيبة، مكتبة الرشد الرياض، الطبعة الأولى 1409 هـ  بتحقيق كمال يوسف الحوت</w:t>
      </w:r>
    </w:p>
    <w:p w14:paraId="7122C72B" w14:textId="77777777" w:rsidR="00027761" w:rsidRPr="00027761" w:rsidRDefault="00027761" w:rsidP="00027761">
      <w:pPr>
        <w:bidi/>
        <w:spacing w:after="100" w:afterAutospacing="1"/>
        <w:ind w:left="855" w:hanging="709"/>
        <w:jc w:val="both"/>
        <w:rPr>
          <w:rFonts w:ascii="Traditional Arabic" w:hAnsi="Traditional Arabic" w:cs="Traditional Arabic"/>
          <w:sz w:val="29"/>
          <w:szCs w:val="29"/>
        </w:rPr>
      </w:pPr>
      <w:r w:rsidRPr="00027761">
        <w:rPr>
          <w:rFonts w:ascii="Traditional Arabic" w:hAnsi="Traditional Arabic" w:cs="Traditional Arabic"/>
          <w:sz w:val="29"/>
          <w:szCs w:val="29"/>
          <w:rtl/>
        </w:rPr>
        <w:lastRenderedPageBreak/>
        <w:t>ابن الأثير، أبو السعادات المبارك بن محمد الجزري، النهاية في غريب الأثر . المكتبة العلمية بيروت 1399 هـ بتحقيق طاهر أحمد الزاوي و محمود محمد الطناحي</w:t>
      </w:r>
    </w:p>
    <w:p w14:paraId="5E3FA24C" w14:textId="77777777" w:rsidR="00027761" w:rsidRPr="00027761" w:rsidRDefault="00027761" w:rsidP="00027761">
      <w:pPr>
        <w:bidi/>
        <w:spacing w:after="100" w:afterAutospacing="1"/>
        <w:jc w:val="both"/>
        <w:rPr>
          <w:rFonts w:ascii="Traditional Arabic" w:hAnsi="Traditional Arabic" w:cs="Traditional Arabic"/>
          <w:sz w:val="29"/>
          <w:szCs w:val="29"/>
        </w:rPr>
      </w:pPr>
      <w:r w:rsidRPr="00027761">
        <w:rPr>
          <w:rFonts w:ascii="Traditional Arabic" w:hAnsi="Traditional Arabic" w:cs="Traditional Arabic"/>
          <w:sz w:val="29"/>
          <w:szCs w:val="29"/>
          <w:rtl/>
        </w:rPr>
        <w:t xml:space="preserve">ابن جرير، أبو جعفر محمد الطبري، تهذيب الآثار، مطبعة المدني القاهرة بتحقيق محمود محمد شاكر. </w:t>
      </w:r>
    </w:p>
    <w:p w14:paraId="4A422A2E" w14:textId="77777777" w:rsidR="00027761" w:rsidRPr="00027761" w:rsidRDefault="00027761" w:rsidP="00027761">
      <w:pPr>
        <w:bidi/>
        <w:spacing w:after="100" w:afterAutospacing="1"/>
        <w:jc w:val="both"/>
        <w:rPr>
          <w:rFonts w:ascii="Traditional Arabic" w:hAnsi="Traditional Arabic" w:cs="Traditional Arabic"/>
          <w:sz w:val="29"/>
          <w:szCs w:val="29"/>
        </w:rPr>
      </w:pPr>
      <w:r w:rsidRPr="00027761">
        <w:rPr>
          <w:rFonts w:ascii="Traditional Arabic" w:hAnsi="Traditional Arabic" w:cs="Traditional Arabic"/>
          <w:sz w:val="29"/>
          <w:szCs w:val="29"/>
          <w:rtl/>
        </w:rPr>
        <w:t>ابن حزم، علي بن أحمد أبو محمد الأندلسي المحلى، دار الآفاق الجديدة بيروت بتحقيق لجنة إحياء.</w:t>
      </w:r>
    </w:p>
    <w:p w14:paraId="6759081E" w14:textId="77777777" w:rsidR="00027761" w:rsidRPr="00027761" w:rsidRDefault="00027761" w:rsidP="00027761">
      <w:pPr>
        <w:bidi/>
        <w:spacing w:after="100" w:afterAutospacing="1"/>
        <w:jc w:val="both"/>
        <w:rPr>
          <w:rFonts w:ascii="Traditional Arabic" w:hAnsi="Traditional Arabic" w:cs="Traditional Arabic"/>
          <w:sz w:val="29"/>
          <w:szCs w:val="29"/>
        </w:rPr>
      </w:pPr>
      <w:r w:rsidRPr="00027761">
        <w:rPr>
          <w:rFonts w:ascii="Traditional Arabic" w:hAnsi="Traditional Arabic" w:cs="Traditional Arabic"/>
          <w:sz w:val="29"/>
          <w:szCs w:val="29"/>
          <w:rtl/>
        </w:rPr>
        <w:t>ابن حنبل، أحمد بن محمد بن حنبل أبو عبد الله الشيباني مسند أحمد، مؤسسة قرطبة مصر.</w:t>
      </w:r>
    </w:p>
    <w:p w14:paraId="5D9945D5" w14:textId="77777777" w:rsidR="00027761" w:rsidRPr="00027761" w:rsidRDefault="00027761" w:rsidP="00027761">
      <w:pPr>
        <w:bidi/>
        <w:spacing w:after="100" w:afterAutospacing="1"/>
        <w:ind w:left="571" w:hanging="567"/>
        <w:jc w:val="both"/>
        <w:rPr>
          <w:rFonts w:ascii="Traditional Arabic" w:hAnsi="Traditional Arabic" w:cs="Traditional Arabic"/>
          <w:sz w:val="29"/>
          <w:szCs w:val="29"/>
        </w:rPr>
      </w:pPr>
      <w:r w:rsidRPr="00027761">
        <w:rPr>
          <w:rFonts w:ascii="Traditional Arabic" w:hAnsi="Traditional Arabic" w:cs="Traditional Arabic"/>
          <w:sz w:val="29"/>
          <w:szCs w:val="29"/>
          <w:rtl/>
        </w:rPr>
        <w:t>ابن عبد البر، أبو عمر يوسف بن عبد الله  القرطبي، التمهيد لابن عبد البر، وزارة عموم الأوقاف المغرب، 1387 هـ  بتحقيق مصطفى بن أحمد العلوي، و محمد عبد الكبير البكري</w:t>
      </w:r>
    </w:p>
    <w:p w14:paraId="5C18DB89" w14:textId="77777777" w:rsidR="00027761" w:rsidRPr="00027761" w:rsidRDefault="00027761" w:rsidP="00027761">
      <w:pPr>
        <w:bidi/>
        <w:spacing w:after="100" w:afterAutospacing="1"/>
        <w:ind w:left="571" w:hanging="567"/>
        <w:jc w:val="both"/>
        <w:rPr>
          <w:rFonts w:ascii="Traditional Arabic" w:hAnsi="Traditional Arabic" w:cs="Traditional Arabic"/>
          <w:sz w:val="29"/>
          <w:szCs w:val="29"/>
        </w:rPr>
      </w:pPr>
      <w:r w:rsidRPr="00027761">
        <w:rPr>
          <w:rFonts w:ascii="Traditional Arabic" w:hAnsi="Traditional Arabic" w:cs="Traditional Arabic"/>
          <w:sz w:val="29"/>
          <w:szCs w:val="29"/>
          <w:rtl/>
        </w:rPr>
        <w:t>ابن قدامة، عبد الله بن أحمد بن قدامة المقدسي أبو محمد، المغني، دار الفكر بيروت، الطبعة الأولى 1405 هـ</w:t>
      </w:r>
    </w:p>
    <w:p w14:paraId="40AB0AD5" w14:textId="77777777" w:rsidR="00027761" w:rsidRPr="00027761" w:rsidRDefault="00027761" w:rsidP="00027761">
      <w:pPr>
        <w:bidi/>
        <w:spacing w:after="100" w:afterAutospacing="1"/>
        <w:ind w:left="571" w:hanging="567"/>
        <w:jc w:val="both"/>
        <w:rPr>
          <w:rFonts w:ascii="Traditional Arabic" w:hAnsi="Traditional Arabic" w:cs="Traditional Arabic"/>
          <w:sz w:val="29"/>
          <w:szCs w:val="29"/>
          <w:rtl/>
        </w:rPr>
      </w:pPr>
      <w:r w:rsidRPr="00027761">
        <w:rPr>
          <w:rFonts w:ascii="Traditional Arabic" w:hAnsi="Traditional Arabic" w:cs="Traditional Arabic"/>
          <w:sz w:val="29"/>
          <w:szCs w:val="29"/>
          <w:rtl/>
        </w:rPr>
        <w:t xml:space="preserve"> البخاري، محمد بن إسماعيل، صحيح البخاري، دار ابن كثير، اليمامة بيروت، الطبعة الثالثة  1407 هـ 1987 م  بتحقيق  د مصطفى ديب البغا. </w:t>
      </w:r>
    </w:p>
    <w:p w14:paraId="7CCB7514" w14:textId="77777777" w:rsidR="00027761" w:rsidRPr="00027761" w:rsidRDefault="00027761" w:rsidP="00027761">
      <w:pPr>
        <w:bidi/>
        <w:spacing w:after="100" w:afterAutospacing="1"/>
        <w:ind w:left="571" w:hanging="567"/>
        <w:jc w:val="both"/>
        <w:rPr>
          <w:rFonts w:ascii="Traditional Arabic" w:hAnsi="Traditional Arabic" w:cs="Traditional Arabic"/>
          <w:sz w:val="29"/>
          <w:szCs w:val="29"/>
        </w:rPr>
      </w:pPr>
      <w:r w:rsidRPr="00027761">
        <w:rPr>
          <w:rFonts w:ascii="Traditional Arabic" w:hAnsi="Traditional Arabic" w:cs="Traditional Arabic"/>
          <w:sz w:val="29"/>
          <w:szCs w:val="29"/>
          <w:rtl/>
        </w:rPr>
        <w:t xml:space="preserve">الترمذي، أبو عيسى محمد بن عيسى بن سروة، سنن الترمذي،  دار إحياء التراث بيروت، بتحقيق  أحمد محمد شاكر وآخرون. </w:t>
      </w:r>
    </w:p>
    <w:p w14:paraId="24576918" w14:textId="77777777" w:rsidR="00027761" w:rsidRPr="00027761" w:rsidRDefault="00027761" w:rsidP="00027761">
      <w:pPr>
        <w:bidi/>
        <w:spacing w:after="100" w:afterAutospacing="1"/>
        <w:ind w:left="571" w:hanging="567"/>
        <w:jc w:val="both"/>
        <w:rPr>
          <w:rFonts w:ascii="Traditional Arabic" w:hAnsi="Traditional Arabic" w:cs="Traditional Arabic"/>
          <w:sz w:val="29"/>
          <w:szCs w:val="29"/>
          <w:rtl/>
        </w:rPr>
      </w:pPr>
      <w:r w:rsidRPr="00027761">
        <w:rPr>
          <w:rFonts w:ascii="Traditional Arabic" w:hAnsi="Traditional Arabic" w:cs="Traditional Arabic"/>
          <w:sz w:val="29"/>
          <w:szCs w:val="29"/>
          <w:rtl/>
        </w:rPr>
        <w:t>الدارمي، عبد الله بن عبد الرحمن أبو محمد الدارمي، سنن الدارمي، دار الكتاب العربي  بيروت الطبعة الأولى 1407هـ بتحقيق فواز أحمد زمرلي، وخالد السبع  العلمي.</w:t>
      </w:r>
    </w:p>
    <w:p w14:paraId="486775B1" w14:textId="77777777" w:rsidR="00027761" w:rsidRPr="00027761" w:rsidRDefault="00027761" w:rsidP="00027761">
      <w:pPr>
        <w:bidi/>
        <w:spacing w:after="100" w:afterAutospacing="1"/>
        <w:ind w:left="571" w:hanging="567"/>
        <w:jc w:val="both"/>
        <w:rPr>
          <w:rFonts w:ascii="Traditional Arabic" w:hAnsi="Traditional Arabic" w:cs="Traditional Arabic"/>
          <w:sz w:val="29"/>
          <w:szCs w:val="29"/>
        </w:rPr>
      </w:pPr>
      <w:r w:rsidRPr="00027761">
        <w:rPr>
          <w:rFonts w:ascii="Traditional Arabic" w:hAnsi="Traditional Arabic" w:cs="Traditional Arabic"/>
          <w:sz w:val="29"/>
          <w:szCs w:val="29"/>
          <w:rtl/>
        </w:rPr>
        <w:t>الشبيلي، د. يوسف بن عبد الله الشبيلي. فقه المعاملات المصرفية.</w:t>
      </w:r>
    </w:p>
    <w:p w14:paraId="441AD514" w14:textId="77777777" w:rsidR="00027761" w:rsidRPr="00027761" w:rsidRDefault="00027761" w:rsidP="00027761">
      <w:pPr>
        <w:bidi/>
        <w:spacing w:after="100" w:afterAutospacing="1"/>
        <w:ind w:left="571" w:hanging="567"/>
        <w:jc w:val="both"/>
        <w:rPr>
          <w:rFonts w:ascii="Traditional Arabic" w:hAnsi="Traditional Arabic" w:cs="Traditional Arabic"/>
          <w:sz w:val="29"/>
          <w:szCs w:val="29"/>
        </w:rPr>
      </w:pPr>
      <w:r w:rsidRPr="00027761">
        <w:rPr>
          <w:rFonts w:ascii="Traditional Arabic" w:hAnsi="Traditional Arabic" w:cs="Traditional Arabic"/>
          <w:sz w:val="29"/>
          <w:szCs w:val="29"/>
          <w:rtl/>
        </w:rPr>
        <w:t>عبد الله بن محمد الطيار، و عبد الله بن محمد المطلق  ومحمد بن إبراهيم الموسى، الفقه الميسر قسم المعاملات، دار الوطن للنشر الرياض، الطبعة الأولى 1425 ه/ 2004 م .</w:t>
      </w:r>
    </w:p>
    <w:p w14:paraId="546D2892" w14:textId="77777777" w:rsidR="00027761" w:rsidRPr="00027761" w:rsidRDefault="00027761" w:rsidP="00027761">
      <w:pPr>
        <w:bidi/>
        <w:spacing w:after="100" w:afterAutospacing="1"/>
        <w:ind w:left="571" w:hanging="567"/>
        <w:jc w:val="both"/>
        <w:rPr>
          <w:rFonts w:ascii="Traditional Arabic" w:hAnsi="Traditional Arabic" w:cs="Traditional Arabic"/>
          <w:sz w:val="29"/>
          <w:szCs w:val="29"/>
          <w:rtl/>
        </w:rPr>
      </w:pPr>
      <w:r w:rsidRPr="00027761">
        <w:rPr>
          <w:rFonts w:ascii="Traditional Arabic" w:hAnsi="Traditional Arabic" w:cs="Traditional Arabic"/>
          <w:sz w:val="29"/>
          <w:szCs w:val="29"/>
          <w:rtl/>
        </w:rPr>
        <w:t>النسائي، أحمد بن شعيب أبو عبد الرحمن النسائي، سنن الكبرى، دار الكتب العلمية بيروت الطبعة الأولى 1411 هـ 1991 م بتحقيق د. عبدالغفار سليمان البنداري، سيد كسروي حسن.</w:t>
      </w:r>
    </w:p>
    <w:p w14:paraId="7ABA4DBD" w14:textId="77777777" w:rsidR="00027761" w:rsidRPr="00027761" w:rsidRDefault="00027761" w:rsidP="00027761">
      <w:pPr>
        <w:bidi/>
        <w:spacing w:after="100" w:afterAutospacing="1"/>
        <w:ind w:left="571" w:hanging="567"/>
        <w:jc w:val="both"/>
        <w:rPr>
          <w:rFonts w:ascii="Traditional Arabic" w:hAnsi="Traditional Arabic" w:cs="Traditional Arabic"/>
          <w:sz w:val="29"/>
          <w:szCs w:val="29"/>
        </w:rPr>
      </w:pPr>
      <w:r w:rsidRPr="00027761">
        <w:rPr>
          <w:rFonts w:ascii="Traditional Arabic" w:hAnsi="Traditional Arabic" w:cs="Traditional Arabic"/>
          <w:sz w:val="29"/>
          <w:szCs w:val="29"/>
          <w:rtl/>
        </w:rPr>
        <w:t>المباركفوري، أبو العلا محمد عبد الرحمن بن عبد الرحيم، تحفة الأحوذي، دار الكتب العلمية، بيروت.</w:t>
      </w:r>
    </w:p>
    <w:p w14:paraId="584550A8" w14:textId="77777777" w:rsidR="00027761" w:rsidRPr="00027761" w:rsidRDefault="00027761" w:rsidP="00027761">
      <w:pPr>
        <w:bidi/>
        <w:spacing w:after="100" w:afterAutospacing="1"/>
        <w:ind w:left="571" w:hanging="567"/>
        <w:jc w:val="both"/>
        <w:rPr>
          <w:rFonts w:ascii="Traditional Arabic" w:hAnsi="Traditional Arabic" w:cs="Traditional Arabic"/>
          <w:sz w:val="29"/>
          <w:szCs w:val="29"/>
        </w:rPr>
      </w:pPr>
      <w:r w:rsidRPr="00027761">
        <w:rPr>
          <w:rFonts w:ascii="Traditional Arabic" w:hAnsi="Traditional Arabic" w:cs="Traditional Arabic"/>
          <w:sz w:val="29"/>
          <w:szCs w:val="29"/>
          <w:rtl/>
        </w:rPr>
        <w:t>مالك بن أنس أبو عبد الله الصبحي، موطأ مالك، دار إحياء التراث مصر، بتحقيق فؤاد عبد الباقي.</w:t>
      </w:r>
    </w:p>
    <w:p w14:paraId="763426C1" w14:textId="77777777" w:rsidR="00FF0CF3" w:rsidRPr="00027761" w:rsidRDefault="00027761" w:rsidP="00027761">
      <w:pPr>
        <w:bidi/>
        <w:spacing w:after="100" w:afterAutospacing="1"/>
        <w:ind w:left="571" w:hanging="567"/>
        <w:jc w:val="both"/>
        <w:rPr>
          <w:rFonts w:ascii="Traditional Arabic" w:hAnsi="Traditional Arabic" w:cs="Traditional Arabic"/>
          <w:sz w:val="29"/>
          <w:szCs w:val="29"/>
          <w:rtl/>
        </w:rPr>
      </w:pPr>
      <w:r w:rsidRPr="00027761">
        <w:rPr>
          <w:rFonts w:ascii="Traditional Arabic" w:hAnsi="Traditional Arabic" w:cs="Traditional Arabic"/>
          <w:sz w:val="29"/>
          <w:szCs w:val="29"/>
          <w:rtl/>
        </w:rPr>
        <w:t>مسلم، مسلم بن الحجاج بن مسلم القشيري النيسابوري، صحيح مسلم، دار إحياء التراث بيروت، بتحقيق محمد فؤاد عبد الباقي.</w:t>
      </w:r>
    </w:p>
    <w:p w14:paraId="49BF9F44" w14:textId="77777777" w:rsidR="00C85C48" w:rsidRPr="00027761" w:rsidRDefault="00C85C48" w:rsidP="00027761">
      <w:pPr>
        <w:spacing w:after="100" w:afterAutospacing="1"/>
        <w:jc w:val="both"/>
        <w:rPr>
          <w:rFonts w:ascii="Traditional Arabic" w:hAnsi="Traditional Arabic" w:cs="Traditional Arabic"/>
          <w:sz w:val="29"/>
          <w:szCs w:val="29"/>
          <w:shd w:val="clear" w:color="auto" w:fill="FFFFFF"/>
          <w:rtl/>
        </w:rPr>
      </w:pPr>
    </w:p>
    <w:sectPr w:rsidR="00C85C48" w:rsidRPr="00027761" w:rsidSect="002D05A4">
      <w:type w:val="continuous"/>
      <w:pgSz w:w="11906" w:h="16838"/>
      <w:pgMar w:top="2269" w:right="1274" w:bottom="1440" w:left="1418" w:header="708" w:footer="708" w:gutter="0"/>
      <w:cols w:space="42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46157" w14:textId="77777777" w:rsidR="006346DA" w:rsidRDefault="006346DA" w:rsidP="00E1533E">
      <w:r>
        <w:separator/>
      </w:r>
    </w:p>
  </w:endnote>
  <w:endnote w:type="continuationSeparator" w:id="0">
    <w:p w14:paraId="5FBCCFAD" w14:textId="77777777" w:rsidR="006346DA" w:rsidRDefault="006346DA" w:rsidP="00E1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BBBB" w14:textId="77777777" w:rsidR="00E218DD" w:rsidRDefault="00E21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09968130"/>
      <w:docPartObj>
        <w:docPartGallery w:val="Page Numbers (Bottom of Page)"/>
        <w:docPartUnique/>
      </w:docPartObj>
    </w:sdtPr>
    <w:sdtEndPr>
      <w:rPr>
        <w:noProof/>
      </w:rPr>
    </w:sdtEndPr>
    <w:sdtContent>
      <w:p w14:paraId="4A430221" w14:textId="77777777" w:rsidR="00DC1BF7" w:rsidRPr="00E1533E" w:rsidRDefault="00DC1BF7">
        <w:pPr>
          <w:pStyle w:val="Footer"/>
          <w:jc w:val="center"/>
          <w:rPr>
            <w:sz w:val="20"/>
            <w:szCs w:val="20"/>
          </w:rPr>
        </w:pPr>
        <w:r w:rsidRPr="00E1533E">
          <w:rPr>
            <w:sz w:val="20"/>
            <w:szCs w:val="20"/>
          </w:rPr>
          <w:fldChar w:fldCharType="begin"/>
        </w:r>
        <w:r w:rsidRPr="00E1533E">
          <w:rPr>
            <w:sz w:val="20"/>
            <w:szCs w:val="20"/>
          </w:rPr>
          <w:instrText xml:space="preserve"> PAGE   \* MERGEFORMAT </w:instrText>
        </w:r>
        <w:r w:rsidRPr="00E1533E">
          <w:rPr>
            <w:sz w:val="20"/>
            <w:szCs w:val="20"/>
          </w:rPr>
          <w:fldChar w:fldCharType="separate"/>
        </w:r>
        <w:r w:rsidR="00E30B81">
          <w:rPr>
            <w:noProof/>
            <w:sz w:val="20"/>
            <w:szCs w:val="20"/>
          </w:rPr>
          <w:t>11</w:t>
        </w:r>
        <w:r w:rsidRPr="00E1533E">
          <w:rPr>
            <w:noProof/>
            <w:sz w:val="20"/>
            <w:szCs w:val="20"/>
          </w:rPr>
          <w:fldChar w:fldCharType="end"/>
        </w:r>
      </w:p>
    </w:sdtContent>
  </w:sdt>
  <w:p w14:paraId="07B580BC" w14:textId="77777777" w:rsidR="00DC1BF7" w:rsidRPr="00E1533E" w:rsidRDefault="00DC1BF7">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371C" w14:textId="77777777" w:rsidR="00E218DD" w:rsidRDefault="00E21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ED46D" w14:textId="77777777" w:rsidR="006346DA" w:rsidRDefault="006346DA" w:rsidP="00FD0DB7">
      <w:pPr>
        <w:bidi/>
      </w:pPr>
      <w:r>
        <w:separator/>
      </w:r>
    </w:p>
  </w:footnote>
  <w:footnote w:type="continuationSeparator" w:id="0">
    <w:p w14:paraId="59A8CB6E" w14:textId="77777777" w:rsidR="006346DA" w:rsidRDefault="006346DA" w:rsidP="00E1533E">
      <w:r>
        <w:continuationSeparator/>
      </w:r>
    </w:p>
  </w:footnote>
  <w:footnote w:id="1">
    <w:p w14:paraId="2ABD2AF4" w14:textId="77777777" w:rsidR="00027761" w:rsidRDefault="00027761" w:rsidP="00027761">
      <w:pPr>
        <w:pStyle w:val="a1"/>
        <w:rPr>
          <w:sz w:val="28"/>
        </w:rPr>
      </w:pPr>
      <w:r>
        <w:rPr>
          <w:rStyle w:val="FootnoteReference"/>
          <w:sz w:val="28"/>
        </w:rPr>
        <w:footnoteRef/>
      </w:r>
      <w:r>
        <w:rPr>
          <w:sz w:val="28"/>
          <w:rtl/>
        </w:rPr>
        <w:t xml:space="preserve"> </w:t>
      </w:r>
      <w:r>
        <w:rPr>
          <w:rFonts w:hint="cs"/>
          <w:sz w:val="28"/>
          <w:rtl/>
        </w:rPr>
        <w:t xml:space="preserve">سليمان بن الأشعث أبو داود السجستاني الأزدي، </w:t>
      </w:r>
      <w:r>
        <w:rPr>
          <w:rFonts w:hint="cs"/>
          <w:b/>
          <w:bCs/>
          <w:i/>
          <w:iCs/>
          <w:sz w:val="28"/>
          <w:rtl/>
        </w:rPr>
        <w:t>سنن أبي داود</w:t>
      </w:r>
      <w:r>
        <w:rPr>
          <w:rFonts w:hint="cs"/>
          <w:sz w:val="28"/>
          <w:rtl/>
        </w:rPr>
        <w:t>، في كتاب لزوم السنة، دار الفكر بتحقيق محمد محيي الدين عبد الحميد، (4/200 رقم 4607) ، وأبو عبد الله الشيباني</w:t>
      </w:r>
      <w:r>
        <w:rPr>
          <w:rFonts w:hint="cs"/>
          <w:b/>
          <w:bCs/>
          <w:sz w:val="28"/>
          <w:rtl/>
        </w:rPr>
        <w:t xml:space="preserve">، </w:t>
      </w:r>
      <w:r>
        <w:rPr>
          <w:rFonts w:hint="cs"/>
          <w:sz w:val="28"/>
          <w:rtl/>
        </w:rPr>
        <w:t>أحمد بن محمد بن حنبل، مسند أحمد، مؤسسة قرطبة مصر (4/127 / رقم 17184).</w:t>
      </w:r>
    </w:p>
  </w:footnote>
  <w:footnote w:id="2">
    <w:p w14:paraId="3625A7AF" w14:textId="77777777" w:rsidR="00027761" w:rsidRDefault="00027761" w:rsidP="00027761">
      <w:pPr>
        <w:pStyle w:val="FootnoteText"/>
        <w:bidi/>
        <w:rPr>
          <w:rtl/>
        </w:rPr>
      </w:pPr>
      <w:r>
        <w:rPr>
          <w:rStyle w:val="FootnoteReference"/>
        </w:rPr>
        <w:footnoteRef/>
      </w:r>
      <w:r>
        <w:rPr>
          <w:rtl/>
        </w:rPr>
        <w:t xml:space="preserve">  </w:t>
      </w:r>
      <w:r>
        <w:rPr>
          <w:rFonts w:cs="Traditional Arabic"/>
          <w:sz w:val="24"/>
          <w:szCs w:val="24"/>
          <w:rtl/>
        </w:rPr>
        <w:t>انظر: لسان العرب، لابن منظور، 14/ 304، والنهاية لابن الأثير، 2/ 191، والمغني لابن قدامة، 6/ 51.</w:t>
      </w:r>
    </w:p>
  </w:footnote>
  <w:footnote w:id="3">
    <w:p w14:paraId="5D9EC4A1" w14:textId="77777777" w:rsidR="00027761" w:rsidRDefault="00027761" w:rsidP="00027761">
      <w:pPr>
        <w:pStyle w:val="FootnoteText"/>
        <w:bidi/>
        <w:rPr>
          <w:sz w:val="24"/>
          <w:szCs w:val="24"/>
          <w:rtl/>
        </w:rPr>
      </w:pPr>
      <w:r>
        <w:rPr>
          <w:rStyle w:val="FootnoteReference"/>
          <w:sz w:val="24"/>
          <w:szCs w:val="24"/>
        </w:rPr>
        <w:footnoteRef/>
      </w:r>
      <w:r>
        <w:rPr>
          <w:sz w:val="24"/>
          <w:szCs w:val="24"/>
          <w:rtl/>
        </w:rPr>
        <w:t xml:space="preserve">  </w:t>
      </w:r>
      <w:r>
        <w:rPr>
          <w:rFonts w:cs="Traditional Arabic"/>
          <w:sz w:val="24"/>
          <w:szCs w:val="24"/>
          <w:rtl/>
        </w:rPr>
        <w:t>أخرجه  مالك في الموطأ (2 / 634 / 1303) من طريق نافع عن ابن عمر عن عمر به. ومن طريق مالك أخرجه ابن جرير الطبري في تهذيب الآثار (2 /735 /1063)، وقد تابع نافع عبد الله بن دينار فرواه عن ابن عمر عن عمر به. أخرجه البيهقي في السنن الكبرى (5 /284 /10291). قلت: ورجال هذا خبر كلهم ثقات رجال الصحيحين وإسناده صحيح</w:t>
      </w:r>
      <w:r>
        <w:rPr>
          <w:rFonts w:hint="cs"/>
          <w:sz w:val="24"/>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FC8E" w14:textId="77777777" w:rsidR="00E218DD" w:rsidRDefault="00E21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E9B6" w14:textId="77777777" w:rsidR="00DC1BF7" w:rsidRPr="00E218DD" w:rsidRDefault="002D05A4" w:rsidP="002D05A4">
    <w:pPr>
      <w:pStyle w:val="Header"/>
      <w:bidi/>
      <w:rPr>
        <w:rFonts w:ascii="Blackadder ITC" w:hAnsi="Blackadder ITC" w:cs="Helvetica"/>
        <w:i/>
        <w:iCs/>
        <w:color w:val="3E3F3A"/>
        <w:sz w:val="20"/>
        <w:szCs w:val="20"/>
        <w:shd w:val="clear" w:color="auto" w:fill="FFFFFF"/>
        <w:rtl/>
      </w:rPr>
    </w:pPr>
    <w:r w:rsidRPr="00E218DD">
      <w:rPr>
        <w:rFonts w:ascii="Blackadder ITC" w:hAnsi="Blackadder ITC" w:cs="Helvetica"/>
        <w:i/>
        <w:iCs/>
        <w:color w:val="3E3F3A"/>
        <w:sz w:val="20"/>
        <w:szCs w:val="20"/>
        <w:shd w:val="clear" w:color="auto" w:fill="FFFFFF"/>
        <w:rtl/>
      </w:rPr>
      <w:t>مؤتمر الوحي أساس الحضارة</w:t>
    </w:r>
  </w:p>
  <w:p w14:paraId="722BCF4B" w14:textId="77777777" w:rsidR="002D05A4" w:rsidRPr="002D05A4" w:rsidRDefault="002D05A4" w:rsidP="002D05A4">
    <w:pPr>
      <w:pStyle w:val="Header"/>
      <w:bidi/>
      <w:rPr>
        <w:rFonts w:ascii="Palatino Linotype" w:hAnsi="Palatino Linotype" w:cs="Helvetica"/>
        <w:color w:val="3E3F3A"/>
        <w:sz w:val="20"/>
        <w:szCs w:val="20"/>
        <w:shd w:val="clear" w:color="auto" w:fill="FFFFFF"/>
      </w:rPr>
    </w:pPr>
    <w:r>
      <w:rPr>
        <w:rFonts w:ascii="Palatino Linotype" w:hAnsi="Palatino Linotype" w:cs="Helvetica" w:hint="cs"/>
        <w:color w:val="3E3F3A"/>
        <w:sz w:val="20"/>
        <w:szCs w:val="20"/>
        <w:shd w:val="clear" w:color="auto" w:fill="FFFFFF"/>
        <w:rtl/>
      </w:rPr>
      <w:t>كلية دراسات القرآن والسنة، جامعة العلوم الإسلامية الماليزية</w:t>
    </w:r>
  </w:p>
  <w:p w14:paraId="15BC6AE8" w14:textId="77777777" w:rsidR="00DC1BF7" w:rsidRPr="00F72540" w:rsidRDefault="002D05A4" w:rsidP="00E218DD">
    <w:pPr>
      <w:pStyle w:val="Header"/>
      <w:ind w:left="-851"/>
      <w:jc w:val="right"/>
      <w:rPr>
        <w:rFonts w:ascii="Palatino Linotype" w:hAnsi="Palatino Linotype" w:cs="Helvetica"/>
        <w:color w:val="3E3F3A"/>
        <w:sz w:val="20"/>
        <w:szCs w:val="20"/>
        <w:shd w:val="clear" w:color="auto" w:fill="FFFFFF"/>
      </w:rPr>
    </w:pPr>
    <w:r>
      <w:rPr>
        <w:rFonts w:cs="Calibri"/>
        <w:i/>
      </w:rPr>
      <w:t>ISBN</w:t>
    </w:r>
    <w:r w:rsidR="00DC1BF7" w:rsidRPr="00F72540">
      <w:rPr>
        <w:rFonts w:ascii="Palatino Linotype" w:hAnsi="Palatino Linotype" w:cs="Helvetica"/>
        <w:color w:val="3E3F3A"/>
        <w:sz w:val="20"/>
        <w:szCs w:val="20"/>
        <w:shd w:val="clear" w:color="auto" w:fill="FFFFFF"/>
      </w:rPr>
      <w:t>:</w:t>
    </w:r>
    <w:r>
      <w:rPr>
        <w:rFonts w:ascii="Palatino Linotype" w:hAnsi="Palatino Linotype" w:cs="Helvetica" w:hint="cs"/>
        <w:color w:val="3E3F3A"/>
        <w:sz w:val="20"/>
        <w:szCs w:val="20"/>
        <w:shd w:val="clear" w:color="auto" w:fill="FFFFFF"/>
        <w:rtl/>
      </w:rPr>
      <w:t xml:space="preserve"> 00000000000000000000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685A" w14:textId="77777777" w:rsidR="00E218DD" w:rsidRDefault="00E21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02"/>
    <w:multiLevelType w:val="hybridMultilevel"/>
    <w:tmpl w:val="61044050"/>
    <w:lvl w:ilvl="0" w:tplc="7CA4076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174018"/>
    <w:multiLevelType w:val="hybridMultilevel"/>
    <w:tmpl w:val="19C4D36A"/>
    <w:lvl w:ilvl="0" w:tplc="C4B6280C">
      <w:start w:val="1"/>
      <w:numFmt w:val="arabicAbjad"/>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2" w15:restartNumberingAfterBreak="0">
    <w:nsid w:val="2A5A0993"/>
    <w:multiLevelType w:val="hybridMultilevel"/>
    <w:tmpl w:val="E236BB7A"/>
    <w:lvl w:ilvl="0" w:tplc="C4B6280C">
      <w:start w:val="1"/>
      <w:numFmt w:val="arabicAbjad"/>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3" w15:restartNumberingAfterBreak="0">
    <w:nsid w:val="6D9C46CE"/>
    <w:multiLevelType w:val="hybridMultilevel"/>
    <w:tmpl w:val="457C0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2D0249"/>
    <w:multiLevelType w:val="hybridMultilevel"/>
    <w:tmpl w:val="94703712"/>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start w:val="1"/>
      <w:numFmt w:val="bullet"/>
      <w:lvlText w:val="o"/>
      <w:lvlJc w:val="left"/>
      <w:pPr>
        <w:ind w:left="4280" w:hanging="360"/>
      </w:pPr>
      <w:rPr>
        <w:rFonts w:ascii="Courier New" w:hAnsi="Courier New" w:cs="Courier New" w:hint="default"/>
      </w:rPr>
    </w:lvl>
    <w:lvl w:ilvl="5" w:tplc="04090005">
      <w:start w:val="1"/>
      <w:numFmt w:val="bullet"/>
      <w:lvlText w:val=""/>
      <w:lvlJc w:val="left"/>
      <w:pPr>
        <w:ind w:left="5000" w:hanging="360"/>
      </w:pPr>
      <w:rPr>
        <w:rFonts w:ascii="Wingdings" w:hAnsi="Wingdings" w:hint="default"/>
      </w:rPr>
    </w:lvl>
    <w:lvl w:ilvl="6" w:tplc="04090001">
      <w:start w:val="1"/>
      <w:numFmt w:val="bullet"/>
      <w:lvlText w:val=""/>
      <w:lvlJc w:val="left"/>
      <w:pPr>
        <w:ind w:left="5720" w:hanging="360"/>
      </w:pPr>
      <w:rPr>
        <w:rFonts w:ascii="Symbol" w:hAnsi="Symbol" w:hint="default"/>
      </w:rPr>
    </w:lvl>
    <w:lvl w:ilvl="7" w:tplc="04090003">
      <w:start w:val="1"/>
      <w:numFmt w:val="bullet"/>
      <w:lvlText w:val="o"/>
      <w:lvlJc w:val="left"/>
      <w:pPr>
        <w:ind w:left="6440" w:hanging="360"/>
      </w:pPr>
      <w:rPr>
        <w:rFonts w:ascii="Courier New" w:hAnsi="Courier New" w:cs="Courier New" w:hint="default"/>
      </w:rPr>
    </w:lvl>
    <w:lvl w:ilvl="8" w:tplc="04090005">
      <w:start w:val="1"/>
      <w:numFmt w:val="bullet"/>
      <w:lvlText w:val=""/>
      <w:lvlJc w:val="left"/>
      <w:pPr>
        <w:ind w:left="7160" w:hanging="360"/>
      </w:pPr>
      <w:rPr>
        <w:rFonts w:ascii="Wingdings" w:hAnsi="Wingdings" w:hint="default"/>
      </w:rPr>
    </w:lvl>
  </w:abstractNum>
  <w:abstractNum w:abstractNumId="5" w15:restartNumberingAfterBreak="0">
    <w:nsid w:val="7B0D7828"/>
    <w:multiLevelType w:val="hybridMultilevel"/>
    <w:tmpl w:val="D5B64344"/>
    <w:lvl w:ilvl="0" w:tplc="C4B6280C">
      <w:start w:val="1"/>
      <w:numFmt w:val="arabicAbjad"/>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25"/>
    <w:rsid w:val="00027761"/>
    <w:rsid w:val="00030C7B"/>
    <w:rsid w:val="0004792B"/>
    <w:rsid w:val="00050782"/>
    <w:rsid w:val="000768A4"/>
    <w:rsid w:val="000A1FB2"/>
    <w:rsid w:val="000B0F48"/>
    <w:rsid w:val="000C27F9"/>
    <w:rsid w:val="000C7AB6"/>
    <w:rsid w:val="000D57E2"/>
    <w:rsid w:val="000E377F"/>
    <w:rsid w:val="000E5C1A"/>
    <w:rsid w:val="000F4C32"/>
    <w:rsid w:val="00103C19"/>
    <w:rsid w:val="00104144"/>
    <w:rsid w:val="00104789"/>
    <w:rsid w:val="001130E4"/>
    <w:rsid w:val="001138CE"/>
    <w:rsid w:val="00117BFA"/>
    <w:rsid w:val="0013299B"/>
    <w:rsid w:val="0016355F"/>
    <w:rsid w:val="00194665"/>
    <w:rsid w:val="001A2810"/>
    <w:rsid w:val="001B22F4"/>
    <w:rsid w:val="001B26CF"/>
    <w:rsid w:val="001E2936"/>
    <w:rsid w:val="001E3412"/>
    <w:rsid w:val="001F4DDA"/>
    <w:rsid w:val="00200200"/>
    <w:rsid w:val="00207448"/>
    <w:rsid w:val="002515E9"/>
    <w:rsid w:val="00252F1C"/>
    <w:rsid w:val="00253773"/>
    <w:rsid w:val="0026129E"/>
    <w:rsid w:val="00262761"/>
    <w:rsid w:val="00274ED1"/>
    <w:rsid w:val="00284772"/>
    <w:rsid w:val="002C0E40"/>
    <w:rsid w:val="002D05A4"/>
    <w:rsid w:val="002D7BB9"/>
    <w:rsid w:val="002E4894"/>
    <w:rsid w:val="002F1F0F"/>
    <w:rsid w:val="002F5326"/>
    <w:rsid w:val="003058D5"/>
    <w:rsid w:val="003152DF"/>
    <w:rsid w:val="00315B3E"/>
    <w:rsid w:val="00325837"/>
    <w:rsid w:val="00331B81"/>
    <w:rsid w:val="00333A9E"/>
    <w:rsid w:val="00340A01"/>
    <w:rsid w:val="003509F0"/>
    <w:rsid w:val="00351224"/>
    <w:rsid w:val="00373CFC"/>
    <w:rsid w:val="00376770"/>
    <w:rsid w:val="00383389"/>
    <w:rsid w:val="00394919"/>
    <w:rsid w:val="003B498E"/>
    <w:rsid w:val="003C70ED"/>
    <w:rsid w:val="003D19DF"/>
    <w:rsid w:val="003E1DC7"/>
    <w:rsid w:val="003F0ABF"/>
    <w:rsid w:val="0040490F"/>
    <w:rsid w:val="00407318"/>
    <w:rsid w:val="00413396"/>
    <w:rsid w:val="00424CAE"/>
    <w:rsid w:val="00442109"/>
    <w:rsid w:val="00461FC9"/>
    <w:rsid w:val="0048457F"/>
    <w:rsid w:val="004A0C63"/>
    <w:rsid w:val="004A5B6E"/>
    <w:rsid w:val="004B2402"/>
    <w:rsid w:val="004B762A"/>
    <w:rsid w:val="004C60BC"/>
    <w:rsid w:val="004D110C"/>
    <w:rsid w:val="004D2AAD"/>
    <w:rsid w:val="004D5FB6"/>
    <w:rsid w:val="004E1E30"/>
    <w:rsid w:val="004F68CB"/>
    <w:rsid w:val="00512018"/>
    <w:rsid w:val="005165B6"/>
    <w:rsid w:val="0052253B"/>
    <w:rsid w:val="0053174B"/>
    <w:rsid w:val="00532EC3"/>
    <w:rsid w:val="00533C70"/>
    <w:rsid w:val="00535336"/>
    <w:rsid w:val="00544475"/>
    <w:rsid w:val="00553C51"/>
    <w:rsid w:val="00564DE1"/>
    <w:rsid w:val="005B32E4"/>
    <w:rsid w:val="005B3F25"/>
    <w:rsid w:val="005B55C8"/>
    <w:rsid w:val="005D23BA"/>
    <w:rsid w:val="005D3608"/>
    <w:rsid w:val="0061724A"/>
    <w:rsid w:val="006346DA"/>
    <w:rsid w:val="006445A0"/>
    <w:rsid w:val="00652DF9"/>
    <w:rsid w:val="0068656B"/>
    <w:rsid w:val="0069039E"/>
    <w:rsid w:val="00692255"/>
    <w:rsid w:val="00696832"/>
    <w:rsid w:val="00696ABA"/>
    <w:rsid w:val="006A200D"/>
    <w:rsid w:val="006A5987"/>
    <w:rsid w:val="006D123C"/>
    <w:rsid w:val="006F7097"/>
    <w:rsid w:val="00700744"/>
    <w:rsid w:val="00702C6E"/>
    <w:rsid w:val="00704095"/>
    <w:rsid w:val="00726F9A"/>
    <w:rsid w:val="00732F32"/>
    <w:rsid w:val="00735158"/>
    <w:rsid w:val="007416A5"/>
    <w:rsid w:val="007526D3"/>
    <w:rsid w:val="00763890"/>
    <w:rsid w:val="00764192"/>
    <w:rsid w:val="0076654D"/>
    <w:rsid w:val="0077278A"/>
    <w:rsid w:val="00772BDF"/>
    <w:rsid w:val="00796EC2"/>
    <w:rsid w:val="007A4775"/>
    <w:rsid w:val="007A54DE"/>
    <w:rsid w:val="007C6FC7"/>
    <w:rsid w:val="007E6ECE"/>
    <w:rsid w:val="00806D2C"/>
    <w:rsid w:val="00811221"/>
    <w:rsid w:val="0082171B"/>
    <w:rsid w:val="00824CC7"/>
    <w:rsid w:val="00853374"/>
    <w:rsid w:val="00864C6A"/>
    <w:rsid w:val="00871890"/>
    <w:rsid w:val="008A68F5"/>
    <w:rsid w:val="008D459E"/>
    <w:rsid w:val="008F52C3"/>
    <w:rsid w:val="00907EDD"/>
    <w:rsid w:val="009306B2"/>
    <w:rsid w:val="00932EE4"/>
    <w:rsid w:val="00950BE4"/>
    <w:rsid w:val="0095757C"/>
    <w:rsid w:val="009661E6"/>
    <w:rsid w:val="009667A4"/>
    <w:rsid w:val="00975684"/>
    <w:rsid w:val="00976B77"/>
    <w:rsid w:val="009773D8"/>
    <w:rsid w:val="00981473"/>
    <w:rsid w:val="009868AC"/>
    <w:rsid w:val="00991483"/>
    <w:rsid w:val="009A201D"/>
    <w:rsid w:val="009A2590"/>
    <w:rsid w:val="009C34F2"/>
    <w:rsid w:val="009D59FE"/>
    <w:rsid w:val="009E1211"/>
    <w:rsid w:val="00A16B23"/>
    <w:rsid w:val="00A20C47"/>
    <w:rsid w:val="00A47771"/>
    <w:rsid w:val="00A515FB"/>
    <w:rsid w:val="00A56196"/>
    <w:rsid w:val="00A76E1D"/>
    <w:rsid w:val="00A900D0"/>
    <w:rsid w:val="00AA511E"/>
    <w:rsid w:val="00AB6621"/>
    <w:rsid w:val="00AB77AA"/>
    <w:rsid w:val="00AC5D92"/>
    <w:rsid w:val="00AD02DB"/>
    <w:rsid w:val="00B05A9D"/>
    <w:rsid w:val="00B12C77"/>
    <w:rsid w:val="00B148DF"/>
    <w:rsid w:val="00B14D69"/>
    <w:rsid w:val="00B15C64"/>
    <w:rsid w:val="00B31A08"/>
    <w:rsid w:val="00B34FA8"/>
    <w:rsid w:val="00B50A35"/>
    <w:rsid w:val="00B74C94"/>
    <w:rsid w:val="00B75C02"/>
    <w:rsid w:val="00B75E02"/>
    <w:rsid w:val="00B87203"/>
    <w:rsid w:val="00B929F5"/>
    <w:rsid w:val="00B97822"/>
    <w:rsid w:val="00BA3005"/>
    <w:rsid w:val="00BA643C"/>
    <w:rsid w:val="00BB2085"/>
    <w:rsid w:val="00BC0070"/>
    <w:rsid w:val="00BD208D"/>
    <w:rsid w:val="00BD5B75"/>
    <w:rsid w:val="00BD676D"/>
    <w:rsid w:val="00BE1EB3"/>
    <w:rsid w:val="00BE1F09"/>
    <w:rsid w:val="00C05420"/>
    <w:rsid w:val="00C13628"/>
    <w:rsid w:val="00C16DDC"/>
    <w:rsid w:val="00C25137"/>
    <w:rsid w:val="00C4337E"/>
    <w:rsid w:val="00C43575"/>
    <w:rsid w:val="00C5007F"/>
    <w:rsid w:val="00C770F1"/>
    <w:rsid w:val="00C85A5E"/>
    <w:rsid w:val="00C85C48"/>
    <w:rsid w:val="00CB1646"/>
    <w:rsid w:val="00CC0E8E"/>
    <w:rsid w:val="00CC2ED1"/>
    <w:rsid w:val="00CC342B"/>
    <w:rsid w:val="00CD1E2B"/>
    <w:rsid w:val="00CE0988"/>
    <w:rsid w:val="00CE1F85"/>
    <w:rsid w:val="00CF5CEE"/>
    <w:rsid w:val="00D07FE1"/>
    <w:rsid w:val="00D201D6"/>
    <w:rsid w:val="00D31613"/>
    <w:rsid w:val="00D42E36"/>
    <w:rsid w:val="00D464E2"/>
    <w:rsid w:val="00D740E6"/>
    <w:rsid w:val="00D84D82"/>
    <w:rsid w:val="00D86D42"/>
    <w:rsid w:val="00DA18CE"/>
    <w:rsid w:val="00DA2224"/>
    <w:rsid w:val="00DB7044"/>
    <w:rsid w:val="00DB7C5C"/>
    <w:rsid w:val="00DC1BF7"/>
    <w:rsid w:val="00DD1D82"/>
    <w:rsid w:val="00DF2774"/>
    <w:rsid w:val="00E1050A"/>
    <w:rsid w:val="00E1533E"/>
    <w:rsid w:val="00E20317"/>
    <w:rsid w:val="00E218DD"/>
    <w:rsid w:val="00E24C97"/>
    <w:rsid w:val="00E27526"/>
    <w:rsid w:val="00E30B81"/>
    <w:rsid w:val="00E31E08"/>
    <w:rsid w:val="00E35BF5"/>
    <w:rsid w:val="00E3657A"/>
    <w:rsid w:val="00E53CD0"/>
    <w:rsid w:val="00E610F8"/>
    <w:rsid w:val="00E64570"/>
    <w:rsid w:val="00E82F53"/>
    <w:rsid w:val="00E87CE3"/>
    <w:rsid w:val="00EA10ED"/>
    <w:rsid w:val="00EA5DB0"/>
    <w:rsid w:val="00EA6A71"/>
    <w:rsid w:val="00EB0064"/>
    <w:rsid w:val="00EB342E"/>
    <w:rsid w:val="00EB7417"/>
    <w:rsid w:val="00F42AD5"/>
    <w:rsid w:val="00F54DF1"/>
    <w:rsid w:val="00F5530C"/>
    <w:rsid w:val="00F70A87"/>
    <w:rsid w:val="00F72540"/>
    <w:rsid w:val="00F73125"/>
    <w:rsid w:val="00F74F6D"/>
    <w:rsid w:val="00FB4854"/>
    <w:rsid w:val="00FB5360"/>
    <w:rsid w:val="00FC35DD"/>
    <w:rsid w:val="00FC681E"/>
    <w:rsid w:val="00FD0DB7"/>
    <w:rsid w:val="00FE1773"/>
    <w:rsid w:val="00FE1A62"/>
    <w:rsid w:val="00FE1D78"/>
    <w:rsid w:val="00FF0CF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5E546"/>
  <w15:chartTrackingRefBased/>
  <w15:docId w15:val="{FD3396F7-10BD-4A8F-BFBF-5D1BFCE4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F25"/>
    <w:pPr>
      <w:spacing w:after="0" w:line="240" w:lineRule="auto"/>
    </w:pPr>
    <w:rPr>
      <w:rFonts w:ascii="Times New Roman" w:eastAsia="MS Mincho" w:hAnsi="Times New Roman" w:cs="Times New Roman"/>
      <w:sz w:val="24"/>
      <w:szCs w:val="24"/>
      <w:lang w:val="en-US"/>
    </w:rPr>
  </w:style>
  <w:style w:type="paragraph" w:styleId="Heading1">
    <w:name w:val="heading 1"/>
    <w:basedOn w:val="Normal"/>
    <w:next w:val="Normal"/>
    <w:link w:val="Heading1Char"/>
    <w:uiPriority w:val="9"/>
    <w:qFormat/>
    <w:rsid w:val="003B498E"/>
    <w:pPr>
      <w:keepNext/>
      <w:keepLines/>
      <w:spacing w:before="240"/>
      <w:outlineLvl w:val="0"/>
    </w:pPr>
    <w:rPr>
      <w:rFonts w:asciiTheme="majorBidi" w:eastAsiaTheme="majorEastAsia" w:hAnsiTheme="majorBidi" w:cstheme="majorBidi"/>
      <w:b/>
      <w:color w:val="000000" w:themeColor="text1"/>
      <w:sz w:val="22"/>
      <w:szCs w:val="32"/>
    </w:rPr>
  </w:style>
  <w:style w:type="paragraph" w:styleId="Heading2">
    <w:name w:val="heading 2"/>
    <w:basedOn w:val="Normal"/>
    <w:next w:val="Normal"/>
    <w:link w:val="Heading2Char"/>
    <w:uiPriority w:val="9"/>
    <w:unhideWhenUsed/>
    <w:qFormat/>
    <w:rsid w:val="003B49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49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98E"/>
    <w:rPr>
      <w:rFonts w:asciiTheme="majorBidi" w:eastAsiaTheme="majorEastAsia" w:hAnsiTheme="majorBidi" w:cstheme="majorBidi"/>
      <w:b/>
      <w:color w:val="000000" w:themeColor="text1"/>
      <w:szCs w:val="32"/>
      <w:lang w:val="en-US"/>
    </w:rPr>
  </w:style>
  <w:style w:type="table" w:styleId="TableGrid">
    <w:name w:val="Table Grid"/>
    <w:basedOn w:val="TableNormal"/>
    <w:uiPriority w:val="59"/>
    <w:rsid w:val="005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498E"/>
    <w:rPr>
      <w:rFonts w:asciiTheme="majorHAnsi" w:eastAsiaTheme="majorEastAsia" w:hAnsiTheme="majorHAnsi" w:cstheme="majorBidi"/>
      <w:color w:val="2E74B5" w:themeColor="accent1" w:themeShade="BF"/>
      <w:sz w:val="26"/>
      <w:szCs w:val="26"/>
      <w:lang w:val="en-US"/>
    </w:rPr>
  </w:style>
  <w:style w:type="paragraph" w:styleId="Subtitle">
    <w:name w:val="Subtitle"/>
    <w:basedOn w:val="Normal"/>
    <w:next w:val="Normal"/>
    <w:link w:val="SubtitleChar"/>
    <w:uiPriority w:val="11"/>
    <w:qFormat/>
    <w:rsid w:val="003B4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B498E"/>
    <w:rPr>
      <w:rFonts w:eastAsiaTheme="minorEastAsia"/>
      <w:color w:val="5A5A5A" w:themeColor="text1" w:themeTint="A5"/>
      <w:spacing w:val="15"/>
      <w:lang w:val="en-US"/>
    </w:rPr>
  </w:style>
  <w:style w:type="paragraph" w:styleId="Title">
    <w:name w:val="Title"/>
    <w:basedOn w:val="Normal"/>
    <w:next w:val="Normal"/>
    <w:link w:val="TitleChar"/>
    <w:uiPriority w:val="10"/>
    <w:qFormat/>
    <w:rsid w:val="003B49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498E"/>
    <w:rPr>
      <w:rFonts w:asciiTheme="majorHAnsi" w:eastAsiaTheme="majorEastAsia" w:hAnsiTheme="majorHAnsi" w:cstheme="majorBidi"/>
      <w:spacing w:val="-10"/>
      <w:kern w:val="28"/>
      <w:sz w:val="56"/>
      <w:szCs w:val="56"/>
      <w:lang w:val="en-US"/>
    </w:rPr>
  </w:style>
  <w:style w:type="character" w:customStyle="1" w:styleId="Heading3Char">
    <w:name w:val="Heading 3 Char"/>
    <w:basedOn w:val="DefaultParagraphFont"/>
    <w:link w:val="Heading3"/>
    <w:uiPriority w:val="9"/>
    <w:rsid w:val="003B498E"/>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3B498E"/>
    <w:pPr>
      <w:ind w:left="720"/>
      <w:contextualSpacing/>
    </w:pPr>
  </w:style>
  <w:style w:type="paragraph" w:styleId="Header">
    <w:name w:val="header"/>
    <w:basedOn w:val="Normal"/>
    <w:link w:val="HeaderChar"/>
    <w:uiPriority w:val="99"/>
    <w:unhideWhenUsed/>
    <w:rsid w:val="00E1533E"/>
    <w:pPr>
      <w:tabs>
        <w:tab w:val="center" w:pos="4153"/>
        <w:tab w:val="right" w:pos="8306"/>
      </w:tabs>
    </w:pPr>
  </w:style>
  <w:style w:type="character" w:customStyle="1" w:styleId="HeaderChar">
    <w:name w:val="Header Char"/>
    <w:basedOn w:val="DefaultParagraphFont"/>
    <w:link w:val="Header"/>
    <w:uiPriority w:val="99"/>
    <w:rsid w:val="00E1533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E1533E"/>
    <w:pPr>
      <w:tabs>
        <w:tab w:val="center" w:pos="4153"/>
        <w:tab w:val="right" w:pos="8306"/>
      </w:tabs>
    </w:pPr>
  </w:style>
  <w:style w:type="character" w:customStyle="1" w:styleId="FooterChar">
    <w:name w:val="Footer Char"/>
    <w:basedOn w:val="DefaultParagraphFont"/>
    <w:link w:val="Footer"/>
    <w:uiPriority w:val="99"/>
    <w:rsid w:val="00E1533E"/>
    <w:rPr>
      <w:rFonts w:ascii="Times New Roman" w:eastAsia="MS Mincho" w:hAnsi="Times New Roman" w:cs="Times New Roman"/>
      <w:sz w:val="24"/>
      <w:szCs w:val="24"/>
      <w:lang w:val="en-US"/>
    </w:rPr>
  </w:style>
  <w:style w:type="character" w:styleId="PageNumber">
    <w:name w:val="page number"/>
    <w:rsid w:val="002F1F0F"/>
    <w:rPr>
      <w:rFonts w:cs="Times New Roman"/>
    </w:rPr>
  </w:style>
  <w:style w:type="character" w:styleId="Strong">
    <w:name w:val="Strong"/>
    <w:basedOn w:val="DefaultParagraphFont"/>
    <w:uiPriority w:val="22"/>
    <w:qFormat/>
    <w:rsid w:val="00F72540"/>
    <w:rPr>
      <w:b/>
      <w:bCs/>
    </w:rPr>
  </w:style>
  <w:style w:type="paragraph" w:styleId="FootnoteText">
    <w:name w:val="footnote text"/>
    <w:basedOn w:val="Normal"/>
    <w:link w:val="FootnoteTextChar"/>
    <w:uiPriority w:val="99"/>
    <w:unhideWhenUsed/>
    <w:rsid w:val="004D110C"/>
    <w:rPr>
      <w:rFonts w:ascii="Calibri" w:eastAsia="Calibri" w:hAnsi="Calibri" w:cs="Arial"/>
      <w:sz w:val="20"/>
      <w:szCs w:val="20"/>
      <w:lang w:val="en-MY"/>
    </w:rPr>
  </w:style>
  <w:style w:type="character" w:customStyle="1" w:styleId="FootnoteTextChar">
    <w:name w:val="Footnote Text Char"/>
    <w:basedOn w:val="DefaultParagraphFont"/>
    <w:link w:val="FootnoteText"/>
    <w:uiPriority w:val="99"/>
    <w:rsid w:val="004D110C"/>
    <w:rPr>
      <w:rFonts w:ascii="Calibri" w:eastAsia="Calibri" w:hAnsi="Calibri" w:cs="Arial"/>
      <w:sz w:val="20"/>
      <w:szCs w:val="20"/>
    </w:rPr>
  </w:style>
  <w:style w:type="character" w:styleId="FootnoteReference">
    <w:name w:val="footnote reference"/>
    <w:basedOn w:val="DefaultParagraphFont"/>
    <w:semiHidden/>
    <w:unhideWhenUsed/>
    <w:rsid w:val="004D110C"/>
    <w:rPr>
      <w:vertAlign w:val="superscript"/>
    </w:rPr>
  </w:style>
  <w:style w:type="table" w:styleId="LightShading">
    <w:name w:val="Light Shading"/>
    <w:basedOn w:val="TableNormal"/>
    <w:uiPriority w:val="60"/>
    <w:rsid w:val="00E35BF5"/>
    <w:pPr>
      <w:spacing w:after="0" w:line="240" w:lineRule="auto"/>
    </w:pPr>
    <w:rPr>
      <w:color w:val="000000" w:themeColor="text1" w:themeShade="BF"/>
      <w:lang w:val="ms-MY"/>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ontentline-92">
    <w:name w:val="contentline-92"/>
    <w:basedOn w:val="DefaultParagraphFont"/>
    <w:rsid w:val="00BD676D"/>
  </w:style>
  <w:style w:type="paragraph" w:styleId="BalloonText">
    <w:name w:val="Balloon Text"/>
    <w:basedOn w:val="Normal"/>
    <w:link w:val="BalloonTextChar"/>
    <w:uiPriority w:val="99"/>
    <w:semiHidden/>
    <w:unhideWhenUsed/>
    <w:rsid w:val="00BD676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D676D"/>
    <w:rPr>
      <w:rFonts w:ascii="Tahoma" w:hAnsi="Tahoma" w:cs="Tahoma"/>
      <w:sz w:val="16"/>
      <w:szCs w:val="16"/>
      <w:lang w:val="en-US"/>
    </w:rPr>
  </w:style>
  <w:style w:type="paragraph" w:styleId="EndnoteText">
    <w:name w:val="endnote text"/>
    <w:basedOn w:val="Normal"/>
    <w:link w:val="EndnoteTextChar"/>
    <w:uiPriority w:val="99"/>
    <w:semiHidden/>
    <w:unhideWhenUsed/>
    <w:rsid w:val="00BD676D"/>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BD676D"/>
    <w:rPr>
      <w:sz w:val="20"/>
      <w:szCs w:val="20"/>
      <w:lang w:val="en-US"/>
    </w:rPr>
  </w:style>
  <w:style w:type="character" w:styleId="EndnoteReference">
    <w:name w:val="endnote reference"/>
    <w:basedOn w:val="DefaultParagraphFont"/>
    <w:uiPriority w:val="99"/>
    <w:semiHidden/>
    <w:unhideWhenUsed/>
    <w:rsid w:val="00BD676D"/>
    <w:rPr>
      <w:vertAlign w:val="superscript"/>
    </w:rPr>
  </w:style>
  <w:style w:type="paragraph" w:styleId="Bibliography">
    <w:name w:val="Bibliography"/>
    <w:basedOn w:val="Normal"/>
    <w:next w:val="Normal"/>
    <w:uiPriority w:val="37"/>
    <w:unhideWhenUsed/>
    <w:rsid w:val="00BD676D"/>
    <w:rPr>
      <w:rFonts w:asciiTheme="minorHAnsi" w:eastAsiaTheme="minorHAnsi" w:hAnsiTheme="minorHAnsi" w:cstheme="minorBidi"/>
      <w:sz w:val="22"/>
      <w:szCs w:val="22"/>
    </w:rPr>
  </w:style>
  <w:style w:type="character" w:styleId="Hyperlink">
    <w:name w:val="Hyperlink"/>
    <w:basedOn w:val="DefaultParagraphFont"/>
    <w:uiPriority w:val="99"/>
    <w:unhideWhenUsed/>
    <w:rsid w:val="00BD676D"/>
    <w:rPr>
      <w:color w:val="0563C1" w:themeColor="hyperlink"/>
      <w:u w:val="single"/>
    </w:rPr>
  </w:style>
  <w:style w:type="paragraph" w:styleId="NoSpacing">
    <w:name w:val="No Spacing"/>
    <w:uiPriority w:val="1"/>
    <w:qFormat/>
    <w:rsid w:val="00BD676D"/>
    <w:pPr>
      <w:bidi/>
      <w:spacing w:after="0" w:line="240" w:lineRule="auto"/>
    </w:pPr>
    <w:rPr>
      <w:lang w:val="en-US"/>
    </w:rPr>
  </w:style>
  <w:style w:type="character" w:customStyle="1" w:styleId="UnresolvedMention1">
    <w:name w:val="Unresolved Mention1"/>
    <w:basedOn w:val="DefaultParagraphFont"/>
    <w:uiPriority w:val="99"/>
    <w:semiHidden/>
    <w:unhideWhenUsed/>
    <w:rsid w:val="00BD676D"/>
    <w:rPr>
      <w:color w:val="808080"/>
      <w:shd w:val="clear" w:color="auto" w:fill="E6E6E6"/>
    </w:rPr>
  </w:style>
  <w:style w:type="paragraph" w:styleId="NormalWeb">
    <w:name w:val="Normal (Web)"/>
    <w:basedOn w:val="Normal"/>
    <w:rsid w:val="00C85C48"/>
    <w:pPr>
      <w:spacing w:before="100" w:beforeAutospacing="1" w:after="100" w:afterAutospacing="1"/>
    </w:pPr>
    <w:rPr>
      <w:rFonts w:eastAsia="Times New Roman"/>
      <w:lang w:bidi="ar-EG"/>
    </w:rPr>
  </w:style>
  <w:style w:type="paragraph" w:styleId="BodyText">
    <w:name w:val="Body Text"/>
    <w:basedOn w:val="Normal"/>
    <w:link w:val="BodyTextChar"/>
    <w:rsid w:val="00C85C48"/>
    <w:pPr>
      <w:tabs>
        <w:tab w:val="left" w:pos="573"/>
      </w:tabs>
      <w:spacing w:after="120"/>
      <w:jc w:val="lowKashida"/>
    </w:pPr>
    <w:rPr>
      <w:rFonts w:eastAsia="Times New Roman" w:cs="Simplified Arabic"/>
      <w:sz w:val="28"/>
      <w:szCs w:val="28"/>
    </w:rPr>
  </w:style>
  <w:style w:type="character" w:customStyle="1" w:styleId="BodyTextChar">
    <w:name w:val="Body Text Char"/>
    <w:basedOn w:val="DefaultParagraphFont"/>
    <w:link w:val="BodyText"/>
    <w:rsid w:val="00C85C48"/>
    <w:rPr>
      <w:rFonts w:ascii="Times New Roman" w:eastAsia="Times New Roman" w:hAnsi="Times New Roman" w:cs="Simplified Arabic"/>
      <w:sz w:val="28"/>
      <w:szCs w:val="28"/>
      <w:lang w:val="en-US"/>
    </w:rPr>
  </w:style>
  <w:style w:type="character" w:customStyle="1" w:styleId="pel">
    <w:name w:val="_pe_l"/>
    <w:basedOn w:val="DefaultParagraphFont"/>
    <w:rsid w:val="00AD02DB"/>
  </w:style>
  <w:style w:type="paragraph" w:customStyle="1" w:styleId="msonormal0">
    <w:name w:val="msonormal"/>
    <w:basedOn w:val="Normal"/>
    <w:rsid w:val="00FC35DD"/>
    <w:pPr>
      <w:spacing w:before="100" w:beforeAutospacing="1" w:after="100" w:afterAutospacing="1"/>
    </w:pPr>
    <w:rPr>
      <w:rFonts w:eastAsia="Times New Roman"/>
    </w:rPr>
  </w:style>
  <w:style w:type="paragraph" w:customStyle="1" w:styleId="m6792311057198420462s5">
    <w:name w:val="m_6792311057198420462s5"/>
    <w:basedOn w:val="Normal"/>
    <w:rsid w:val="00FC35DD"/>
    <w:pPr>
      <w:spacing w:before="100" w:beforeAutospacing="1" w:after="100" w:afterAutospacing="1"/>
    </w:pPr>
    <w:rPr>
      <w:rFonts w:eastAsia="Times New Roman"/>
    </w:rPr>
  </w:style>
  <w:style w:type="character" w:customStyle="1" w:styleId="Title1">
    <w:name w:val="Title1"/>
    <w:basedOn w:val="DefaultParagraphFont"/>
    <w:rsid w:val="00FC35DD"/>
  </w:style>
  <w:style w:type="character" w:customStyle="1" w:styleId="info-item">
    <w:name w:val="info-item"/>
    <w:basedOn w:val="DefaultParagraphFont"/>
    <w:rsid w:val="00FC35DD"/>
  </w:style>
  <w:style w:type="character" w:customStyle="1" w:styleId="info-desc">
    <w:name w:val="info-desc"/>
    <w:basedOn w:val="DefaultParagraphFont"/>
    <w:rsid w:val="00FC35DD"/>
  </w:style>
  <w:style w:type="character" w:customStyle="1" w:styleId="info-title">
    <w:name w:val="info-title"/>
    <w:basedOn w:val="DefaultParagraphFont"/>
    <w:rsid w:val="00FC35DD"/>
  </w:style>
  <w:style w:type="character" w:customStyle="1" w:styleId="m6792311057198420462s2">
    <w:name w:val="m_6792311057198420462s2"/>
    <w:basedOn w:val="DefaultParagraphFont"/>
    <w:rsid w:val="00FC35DD"/>
    <w:rPr>
      <w:rFonts w:ascii="Times New Roman" w:hAnsi="Times New Roman" w:cs="Times New Roman" w:hint="default"/>
    </w:rPr>
  </w:style>
  <w:style w:type="character" w:customStyle="1" w:styleId="m6792311057198420462s4">
    <w:name w:val="m_6792311057198420462s4"/>
    <w:basedOn w:val="DefaultParagraphFont"/>
    <w:rsid w:val="00FC35DD"/>
    <w:rPr>
      <w:rFonts w:ascii="Times New Roman" w:hAnsi="Times New Roman" w:cs="Times New Roman" w:hint="default"/>
    </w:rPr>
  </w:style>
  <w:style w:type="character" w:styleId="Mention">
    <w:name w:val="Mention"/>
    <w:basedOn w:val="DefaultParagraphFont"/>
    <w:uiPriority w:val="99"/>
    <w:semiHidden/>
    <w:unhideWhenUsed/>
    <w:rsid w:val="0076654D"/>
    <w:rPr>
      <w:color w:val="2B579A"/>
      <w:shd w:val="clear" w:color="auto" w:fill="E6E6E6"/>
    </w:rPr>
  </w:style>
  <w:style w:type="character" w:customStyle="1" w:styleId="apple-style-span">
    <w:name w:val="apple-style-span"/>
    <w:basedOn w:val="DefaultParagraphFont"/>
    <w:rsid w:val="00FF0CF3"/>
  </w:style>
  <w:style w:type="character" w:customStyle="1" w:styleId="apple-converted-space">
    <w:name w:val="apple-converted-space"/>
    <w:basedOn w:val="DefaultParagraphFont"/>
    <w:rsid w:val="00FF0CF3"/>
  </w:style>
  <w:style w:type="paragraph" w:customStyle="1" w:styleId="a">
    <w:name w:val="متن"/>
    <w:basedOn w:val="Normal"/>
    <w:uiPriority w:val="25"/>
    <w:qFormat/>
    <w:rsid w:val="00027761"/>
    <w:pPr>
      <w:bidi/>
      <w:spacing w:before="240"/>
      <w:ind w:firstLine="680"/>
      <w:jc w:val="both"/>
    </w:pPr>
    <w:rPr>
      <w:rFonts w:ascii="AGA Arabesque" w:eastAsia="Times New Roman" w:hAnsi="AGA Arabesque" w:cs="Traditional Arabic"/>
      <w:sz w:val="36"/>
      <w:szCs w:val="36"/>
    </w:rPr>
  </w:style>
  <w:style w:type="paragraph" w:customStyle="1" w:styleId="a0">
    <w:name w:val="تیتر اول"/>
    <w:basedOn w:val="a"/>
    <w:qFormat/>
    <w:rsid w:val="00027761"/>
    <w:pPr>
      <w:spacing w:before="0" w:after="600"/>
      <w:ind w:firstLine="0"/>
      <w:jc w:val="center"/>
    </w:pPr>
    <w:rPr>
      <w:bCs/>
      <w:sz w:val="32"/>
      <w:szCs w:val="40"/>
    </w:rPr>
  </w:style>
  <w:style w:type="paragraph" w:customStyle="1" w:styleId="a1">
    <w:name w:val="پاورقی"/>
    <w:basedOn w:val="FootnoteText"/>
    <w:qFormat/>
    <w:rsid w:val="00027761"/>
    <w:pPr>
      <w:bidi/>
      <w:jc w:val="lowKashida"/>
    </w:pPr>
    <w:rPr>
      <w:rFonts w:ascii="Times New Roman" w:eastAsia="Times New Roman" w:hAnsi="Times New Roman" w:cs="Traditional Arabic"/>
      <w:sz w:val="24"/>
      <w:szCs w:val="28"/>
      <w:lang w:val="en-US"/>
    </w:rPr>
  </w:style>
  <w:style w:type="paragraph" w:customStyle="1" w:styleId="a2">
    <w:name w:val="تیتر"/>
    <w:basedOn w:val="a1"/>
    <w:qFormat/>
    <w:rsid w:val="00027761"/>
    <w:pPr>
      <w:bidi w:val="0"/>
      <w:spacing w:before="600"/>
    </w:pPr>
    <w:rPr>
      <w:bCs/>
      <w:sz w:val="28"/>
      <w:szCs w:val="36"/>
    </w:rPr>
  </w:style>
  <w:style w:type="character" w:styleId="Emphasis">
    <w:name w:val="Emphasis"/>
    <w:basedOn w:val="DefaultParagraphFont"/>
    <w:uiPriority w:val="20"/>
    <w:qFormat/>
    <w:rsid w:val="00E30B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8616">
      <w:bodyDiv w:val="1"/>
      <w:marLeft w:val="0"/>
      <w:marRight w:val="0"/>
      <w:marTop w:val="0"/>
      <w:marBottom w:val="0"/>
      <w:divBdr>
        <w:top w:val="none" w:sz="0" w:space="0" w:color="auto"/>
        <w:left w:val="none" w:sz="0" w:space="0" w:color="auto"/>
        <w:bottom w:val="none" w:sz="0" w:space="0" w:color="auto"/>
        <w:right w:val="none" w:sz="0" w:space="0" w:color="auto"/>
      </w:divBdr>
    </w:div>
    <w:div w:id="219051034">
      <w:bodyDiv w:val="1"/>
      <w:marLeft w:val="0"/>
      <w:marRight w:val="0"/>
      <w:marTop w:val="0"/>
      <w:marBottom w:val="0"/>
      <w:divBdr>
        <w:top w:val="none" w:sz="0" w:space="0" w:color="auto"/>
        <w:left w:val="none" w:sz="0" w:space="0" w:color="auto"/>
        <w:bottom w:val="none" w:sz="0" w:space="0" w:color="auto"/>
        <w:right w:val="none" w:sz="0" w:space="0" w:color="auto"/>
      </w:divBdr>
    </w:div>
    <w:div w:id="421998173">
      <w:bodyDiv w:val="1"/>
      <w:marLeft w:val="0"/>
      <w:marRight w:val="0"/>
      <w:marTop w:val="0"/>
      <w:marBottom w:val="0"/>
      <w:divBdr>
        <w:top w:val="none" w:sz="0" w:space="0" w:color="auto"/>
        <w:left w:val="none" w:sz="0" w:space="0" w:color="auto"/>
        <w:bottom w:val="none" w:sz="0" w:space="0" w:color="auto"/>
        <w:right w:val="none" w:sz="0" w:space="0" w:color="auto"/>
      </w:divBdr>
    </w:div>
    <w:div w:id="15300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AlQ04</b:Tag>
    <b:SourceType>Book</b:SourceType>
    <b:Guid>{2B87230D-DA4C-4F41-A34E-C1F31472E1EC}</b:Guid>
    <b:Author>
      <b:Author>
        <b:NameList>
          <b:Person>
            <b:Last>al-Qasimiy</b:Last>
            <b:First>Muhammad</b:First>
            <b:Middle>Jamaluddin</b:Middle>
          </b:Person>
        </b:NameList>
      </b:Author>
    </b:Author>
    <b:Title>Qawaid al-Tahdis</b:Title>
    <b:Year>2004</b:Year>
    <b:City>Beirut</b:City>
    <b:Publisher>Muassasas al-Risalah al-Nasyirun</b:Publisher>
    <b:RefOrder>1</b:RefOrder>
  </b:Source>
  <b:Source>
    <b:Tag>Ibn</b:Tag>
    <b:SourceType>Book</b:SourceType>
    <b:Guid>{F36EF437-1F72-42AD-8C14-9E5ABABEAAA5}</b:Guid>
    <b:Author>
      <b:Author>
        <b:NameList>
          <b:Person>
            <b:Last>Ibn Manzhur</b:Last>
            <b:First>Muhammad</b:First>
            <b:Middle>bin Mukarram</b:Middle>
          </b:Person>
        </b:NameList>
      </b:Author>
    </b:Author>
    <b:Title>Lisan al-Arab</b:Title>
    <b:City>Beirut</b:City>
    <b:Publisher>Dar al-Sadir</b:Publisher>
    <b:Year>t.t</b:Year>
    <b:RefOrder>2</b:RefOrder>
  </b:Source>
  <b:Source>
    <b:Tag>Ibn13</b:Tag>
    <b:SourceType>Book</b:SourceType>
    <b:Guid>{7130BA32-DB9B-4A29-A182-18785169DE51}</b:Guid>
    <b:Author>
      <b:Author>
        <b:NameList>
          <b:Person>
            <b:Last>Ibn Mulaqqin</b:Last>
            <b:First>Sirajuddin</b:First>
            <b:Middle>Umar bin Ali</b:Middle>
          </b:Person>
        </b:NameList>
      </b:Author>
    </b:Author>
    <b:Title>Al-Muqni' fi Ulum al-Hadis</b:Title>
    <b:Year>1413</b:Year>
    <b:City>Al-Ahsa'</b:City>
    <b:Publisher>Dar Fawaz li al-Nasyr</b:Publisher>
    <b:RefOrder>3</b:RefOrder>
  </b:Source>
  <b:Source>
    <b:Tag>alS15</b:Tag>
    <b:SourceType>Book</b:SourceType>
    <b:Guid>{73BFA04D-6FF7-4470-BBA8-1C377B8F7402}</b:Guid>
    <b:Author>
      <b:Author>
        <b:NameList>
          <b:Person>
            <b:Last>al-Suyutiy</b:Last>
            <b:First>Jalaluddin</b:First>
          </b:Person>
        </b:NameList>
      </b:Author>
    </b:Author>
    <b:Title>Tadrib al-Rawi</b:Title>
    <b:Year>1415</b:Year>
    <b:City>Riyadh</b:City>
    <b:Publisher>Maktabah al-Kauthar</b:Publisher>
    <b:RefOrder>4</b:RefOrder>
  </b:Source>
  <b:Source>
    <b:Tag>DrY09</b:Tag>
    <b:SourceType>Book</b:SourceType>
    <b:Guid>{026DF6D7-4890-4350-B026-5FA4650065B7}</b:Guid>
    <b:Author>
      <b:Author>
        <b:NameList>
          <b:Person>
            <b:Last>al-Mazru'ie</b:Last>
            <b:First>Dr.</b:First>
            <b:Middle>Yasir</b:Middle>
          </b:Person>
        </b:NameList>
      </b:Author>
    </b:Author>
    <b:Title>Audhah al-Dilalat fi Asanid al-Qiraat</b:Title>
    <b:Year>2009</b:Year>
    <b:City>Kuwait</b:City>
    <b:Publisher>wizarah al-Awqaf wa al0Syu'un al-Islamiyah</b:Publisher>
    <b:RefOrder>5</b:RefOrder>
  </b:Source>
  <b:Source>
    <b:Tag>Ibn22</b:Tag>
    <b:SourceType>Book</b:SourceType>
    <b:Guid>{C7AEA1DB-9508-4DBA-91E9-E5E0FE82F8C7}</b:Guid>
    <b:Author>
      <b:Author>
        <b:NameList>
          <b:Person>
            <b:Last>Ibn Hajar al-Asqalaniy</b:Last>
            <b:First>Ahmad</b:First>
            <b:Middle>bin Ali bin Muhammad</b:Middle>
          </b:Person>
        </b:NameList>
      </b:Author>
    </b:Author>
    <b:Title>Nuzhat al-Nazhor fi Taudhih Nukhbat al-Fikar</b:Title>
    <b:Year>1422</b:Year>
    <b:City>Riyadh</b:City>
    <b:Publisher>Matba'ah al-Safir bi al-Riyadh</b:Publisher>
    <b:RefOrder>6</b:RefOrder>
  </b:Source>
  <b:Source>
    <b:Tag>alS08</b:Tag>
    <b:SourceType>Book</b:SourceType>
    <b:Guid>{32705913-0580-4DC9-A35E-E18E68224B2E}</b:Guid>
    <b:Author>
      <b:Author>
        <b:NameList>
          <b:Person>
            <b:Last>al-Suyutiy</b:Last>
            <b:First>jalaluddin</b:First>
          </b:Person>
        </b:NameList>
      </b:Author>
    </b:Author>
    <b:Title>al-Itqan fi 'Ulum al-Quran</b:Title>
    <b:Year>2008</b:Year>
    <b:City>Lubnan</b:City>
    <b:Publisher>Muassasah al-Risalah Nasyirun</b:Publisher>
    <b:RefOrder>7</b:RefOrder>
  </b:Source>
  <b:Source>
    <b:Tag>alT87</b:Tag>
    <b:SourceType>Book</b:SourceType>
    <b:Guid>{F3F179C6-FC67-48DB-96F4-679C530CA7B3}</b:Guid>
    <b:Author>
      <b:Author>
        <b:NameList>
          <b:Person>
            <b:Last>al-Thufiy</b:Last>
            <b:First>Sulaiman</b:First>
            <b:Middle>bin Abdul Qawiy</b:Middle>
          </b:Person>
        </b:NameList>
      </b:Author>
    </b:Author>
    <b:Title>Syarh Mukhtasar al-Raudhah</b:Title>
    <b:Year>1987</b:Year>
    <b:City>Beirut</b:City>
    <b:Publisher>Muassasah al-Risalah</b:Publisher>
    <b:RefOrder>8</b:RefOrder>
  </b:Source>
  <b:Source>
    <b:Tag>DrA31</b:Tag>
    <b:SourceType>Book</b:SourceType>
    <b:Guid>{3468D9CF-E39B-4F21-B2AC-C32E5F4D96B3}</b:Guid>
    <b:Author>
      <b:Author>
        <b:NameList>
          <b:Person>
            <b:Last>al-Muzainiy</b:Last>
            <b:First>Dr.</b:First>
            <b:Middle>Abdul Aziz bin Sulaiman</b:Middle>
          </b:Person>
        </b:NameList>
      </b:Author>
    </b:Author>
    <b:Title>Mabahith Fi 'Ilm al-Qiraat</b:Title>
    <b:Year>1431</b:Year>
    <b:City>Riyadh</b:City>
    <b:Publisher>Dar al-Kunuz Isybiliya</b:Publisher>
    <b:RefOrder>9</b:RefOrder>
  </b:Source>
  <b:Source>
    <b:Tag>AlM12</b:Tag>
    <b:SourceType>Book</b:SourceType>
    <b:Guid>{AA457B3D-CFAF-4DEF-BB4B-253A6C579149}</b:Guid>
    <b:Author>
      <b:Author>
        <b:NameList>
          <b:Person>
            <b:Last>Al-Mustasfa</b:Last>
          </b:Person>
        </b:NameList>
      </b:Author>
    </b:Author>
    <b:Title>al-Ghazaliy, Abu Hamid Muhammad bin Muhammad</b:Title>
    <b:Year>2012</b:Year>
    <b:City>Beirut</b:City>
    <b:Publisher>Muassasah al-Risalah Nasyirun</b:Publisher>
    <b:RefOrder>10</b:RefOrder>
  </b:Source>
  <b:Source>
    <b:Tag>Ibn11</b:Tag>
    <b:SourceType>Book</b:SourceType>
    <b:Guid>{32DECFEB-D334-4CFA-9582-EB9003553D6A}</b:Guid>
    <b:Author>
      <b:Author>
        <b:NameList>
          <b:Person>
            <b:Last>Ibn Qudamah</b:Last>
            <b:First>al-Muwaffaq</b:First>
            <b:Middle>Abdullah bin Ahmad bin Muhammad al-Maqdisiy</b:Middle>
          </b:Person>
        </b:NameList>
      </b:Author>
    </b:Author>
    <b:Title>Raudhat al-Nazhir wa Jannat al-Manazhir</b:Title>
    <b:Year>2011</b:Year>
    <b:City>Riyadh</b:City>
    <b:Publisher>Maktabah al-Rushd</b:Publisher>
    <b:RefOrder>11</b:RefOrder>
  </b:Source>
  <b:Source>
    <b:Tag>alK33</b:Tag>
    <b:SourceType>Book</b:SourceType>
    <b:Guid>{BF422AE6-896A-40AB-A879-AA3EE317B6B4}</b:Guid>
    <b:Author>
      <b:Author>
        <b:NameList>
          <b:Person>
            <b:Last>al-Khudhair</b:Last>
            <b:First>Dr.</b:First>
            <b:Middle>Abdul Karim bin Abdullah bin Abdul Rahman</b:Middle>
          </b:Person>
        </b:NameList>
      </b:Author>
    </b:Author>
    <b:Title>Tahqiq al-Rughbah fi Taudhih al-Nukhbah</b:Title>
    <b:Year>1433</b:Year>
    <b:City>Riyadh</b:City>
    <b:Publisher>Maktabah Dar al-Minhaj</b:Publisher>
    <b:RefOrder>12</b:RefOrder>
  </b:Source>
  <b:Source>
    <b:Tag>Abu03</b:Tag>
    <b:SourceType>Book</b:SourceType>
    <b:Guid>{875739EE-8398-425F-A636-6A89412832B6}</b:Guid>
    <b:Author>
      <b:Author>
        <b:NameList>
          <b:Person>
            <b:Last>Abu Syamah al-Maqdisiy</b:Last>
            <b:First>Syihabuddin</b:First>
            <b:Middle>Abdul Rahman bin Ismail</b:Middle>
          </b:Person>
        </b:NameList>
      </b:Author>
    </b:Author>
    <b:Title>al-Mursyid al-Wajiz</b:Title>
    <b:Year>2003</b:Year>
    <b:City>Beirut</b:City>
    <b:Publisher>Dar al-Kutub al-Ilmiah</b:Publisher>
    <b:RefOrder>13</b:RefOrder>
  </b:Source>
  <b:Source xmlns:b="http://schemas.openxmlformats.org/officeDocument/2006/bibliography">
    <b:Tag>alM08</b:Tag>
    <b:SourceType>Book</b:SourceType>
    <b:Guid>{9C166FF4-1314-43E1-9D4C-7EDDB7833683}</b:Guid>
    <b:Author>
      <b:Author>
        <b:NameList>
          <b:Person>
            <b:Last>al-Ma'sharawi</b:Last>
            <b:First>Dr.</b:First>
            <b:Middle>Ahmad 'Isa</b:Middle>
          </b:Person>
        </b:NameList>
      </b:Author>
    </b:Author>
    <b:Title>Al-Qiraat al-Waridah fi al-Sunnah</b:Title>
    <b:Year>2008</b:Year>
    <b:City>Kaherah</b:City>
    <b:Publisher>Dar al-Salam</b:Publisher>
    <b:RefOrder>14</b:RefOrder>
  </b:Source>
  <b:Source>
    <b:Tag>alS07</b:Tag>
    <b:SourceType>Book</b:SourceType>
    <b:Guid>{B10D33F4-421D-4DA2-984B-54BB2C2EDA1E}</b:Guid>
    <b:Author>
      <b:Author>
        <b:NameList>
          <b:Person>
            <b:Last>al-Syaukaniy</b:Last>
            <b:First>Muhammad</b:First>
            <b:Middle>bin Ali</b:Middle>
          </b:Person>
        </b:NameList>
      </b:Author>
    </b:Author>
    <b:Title>Irsyad al-Fuhul ila Tahqiq al-Haq min 'Ilm al-Usul</b:Title>
    <b:Year>2007</b:Year>
    <b:City>Dimasqy</b:City>
    <b:Publisher>dar Ibn Kathir</b:Publisher>
    <b:RefOrder>15</b:RefOrder>
  </b:Source>
  <b:Source>
    <b:Tag>DrK09</b:Tag>
    <b:SourceType>Book</b:SourceType>
    <b:Guid>{36F5DB2B-79D9-4FE0-9D3B-BE1156BB8BC4}</b:Guid>
    <b:Author>
      <b:Author>
        <b:NameList>
          <b:Person>
            <b:Last>amin</b:Last>
            <b:First>Dr.</b:First>
            <b:Middle>Khalid bin Marghub bin Muhammad</b:Middle>
          </b:Person>
        </b:NameList>
      </b:Author>
    </b:Author>
    <b:Title>Makanat al-Ijazah 'inda al-Muhaddisin baina al-Ifrat wa al-Tafrith</b:Title>
    <b:Year>2009</b:Year>
    <b:City>jeddah</b:City>
    <b:Publisher>Dar ibn Hazm</b:Publisher>
    <b:RefOrder>16</b:RefOrder>
  </b:Source>
  <b:Source>
    <b:Tag>alS03</b:Tag>
    <b:SourceType>Book</b:SourceType>
    <b:Guid>{5F37D266-7B58-4F54-83D8-1C48DA5AF603}</b:Guid>
    <b:Author>
      <b:Author>
        <b:NameList>
          <b:Person>
            <b:Last>al-Sakhawiy</b:Last>
            <b:First>Syamsuddin</b:First>
            <b:Middle>Muhammad bin Abdul Rahman bin Muhammad</b:Middle>
          </b:Person>
        </b:NameList>
      </b:Author>
    </b:Author>
    <b:Title>Fath al-Mughith bi Syarh alfiat al-Hadis lil 'Iraqiy</b:Title>
    <b:Year>2003</b:Year>
    <b:City>Kaherah</b:City>
    <b:Publisher>Maktabah al-Sunnah</b:Publisher>
    <b:RefOrder>17</b:RefOrder>
  </b:Source>
  <b:Source>
    <b:Tag>Ibn97</b:Tag>
    <b:SourceType>Book</b:SourceType>
    <b:Guid>{0637C834-DA35-44E8-AFB6-9E09654C3EFE}</b:Guid>
    <b:Author>
      <b:Author>
        <b:NameList>
          <b:Person>
            <b:Last>Ibn al-Najjar</b:Last>
            <b:First>Taqiyuddin</b:First>
            <b:Middle>Muhammad bin Ahmad bin Abdul Aziz al-Futuhiy</b:Middle>
          </b:Person>
        </b:NameList>
      </b:Author>
    </b:Author>
    <b:Title>Syarh al-Kaukab al-Munir</b:Title>
    <b:Year>1997</b:Year>
    <b:City>Riyadh</b:City>
    <b:Publisher>Maktabah al-Ubaikan</b:Publisher>
    <b:RefOrder>18</b:RefOrder>
  </b:Source>
  <b:Source xmlns:b="http://schemas.openxmlformats.org/officeDocument/2006/bibliography">
    <b:Tag>Ibn1</b:Tag>
    <b:SourceType>Book</b:SourceType>
    <b:Guid>{C8BC6890-DFF9-4276-8A7E-74F0B6D47ACE}</b:Guid>
    <b:Author>
      <b:Author>
        <b:NameList>
          <b:Person>
            <b:Last>Ibn Solah</b:Last>
            <b:First>Abu</b:First>
            <b:Middle>Amru Uthman bin Abdul Rahman</b:Middle>
          </b:Person>
        </b:NameList>
      </b:Author>
    </b:Author>
    <b:Title>Muqaddimah Ibn Solah</b:Title>
    <b:Year>t.t</b:Year>
    <b:City>t.t</b:City>
    <b:Publisher>t.t</b:Publisher>
    <b:RefOrder>19</b:RefOrder>
  </b:Source>
  <b:Source>
    <b:Tag>AlZ98</b:Tag>
    <b:SourceType>Book</b:SourceType>
    <b:Guid>{2EDE6E15-CA1C-4522-B56A-585B53043011}</b:Guid>
    <b:Author>
      <b:Author>
        <b:NameList>
          <b:Person>
            <b:Last>Al-Zarkasyi</b:Last>
            <b:First>Badruddin</b:First>
            <b:Middle>Abu Abdillah Muhammad bin Jamal al-Din</b:Middle>
          </b:Person>
        </b:NameList>
      </b:Author>
    </b:Author>
    <b:Title>Al-Nukat 'ala Muqaddimah Ibn Solah</b:Title>
    <b:Year>1998</b:Year>
    <b:City>Riyadh</b:City>
    <b:Publisher>Maktabah Adwa' al-salaf</b:Publisher>
    <b:RefOrder>20</b:RefOrder>
  </b:Source>
  <b:Source>
    <b:Tag>AlH90</b:Tag>
    <b:SourceType>Book</b:SourceType>
    <b:Guid>{FF7DEF5E-F36F-4DD6-AB20-6084DC6EBA0D}</b:Guid>
    <b:Author>
      <b:Author>
        <b:NameList>
          <b:Person>
            <b:Last>Al-Hakim</b:Last>
            <b:First>Abu</b:First>
            <b:Middle>Abdillah Muhammad bin Abdillah al-Naisaburiy</b:Middle>
          </b:Person>
        </b:NameList>
      </b:Author>
    </b:Author>
    <b:Title>Al-Mustadrak 'Ala al-Sahihain</b:Title>
    <b:Year>1990</b:Year>
    <b:City>Beirut</b:City>
    <b:Publisher>Dar al-Kutub al-Ilmiyyah</b:Publisher>
    <b:RefOrder>21</b:RefOrder>
  </b:Source>
  <b:Source>
    <b:Tag>AlK25</b:Tag>
    <b:SourceType>Book</b:SourceType>
    <b:Guid>{0CC9C0F5-27D0-46D8-87A4-02745D48CA1E}</b:Guid>
    <b:Author>
      <b:Author>
        <b:NameList>
          <b:Person>
            <b:Last>Al-Khudhair</b:Last>
            <b:First>Dr.</b:First>
            <b:Middle>Abdul Karim bin Abdillah bin Abdil Rahman</b:Middle>
          </b:Person>
        </b:NameList>
      </b:Author>
    </b:Author>
    <b:Title>Al-Hadis al-Dhaif wa Hukmu al-Ihtijaj bihi</b:Title>
    <b:Year>1425</b:Year>
    <b:City>Riyadh</b:City>
    <b:Publisher>Maktabah Dar al-Minhaj</b:Publisher>
    <b:RefOrder>22</b:RefOrder>
  </b:Source>
  <b:Source>
    <b:Tag>Mustt</b:Tag>
    <b:SourceType>Book</b:SourceType>
    <b:Guid>{3F4CE974-A396-4717-A273-643BDD986264}</b:Guid>
    <b:Author>
      <b:Author>
        <b:NameList>
          <b:Person>
            <b:Last>Muslim</b:Last>
            <b:First>Muslim</b:First>
            <b:Middle>bin Hajjaj al-Qusyairiy al-Naisaburiy</b:Middle>
          </b:Person>
        </b:NameList>
      </b:Author>
    </b:Author>
    <b:Title>Sahih Muslim</b:Title>
    <b:Year>t.t</b:Year>
    <b:City>Beirut</b:City>
    <b:Publisher>Dar al-Ihya' al-Turath</b:Publisher>
    <b:RefOrder>23</b:RefOrder>
  </b:Source>
  <b:Source>
    <b:Tag>AlM13</b:Tag>
    <b:SourceType>Book</b:SourceType>
    <b:Guid>{2AF51C65-43E6-4BC1-8615-D577089994EF}</b:Guid>
    <b:Author>
      <b:Author>
        <b:NameList>
          <b:Person>
            <b:Last>Al-Muthairiy</b:Last>
            <b:First>Dr.</b:First>
            <b:Middle>Ahmad bin Saied</b:Middle>
          </b:Person>
        </b:NameList>
      </b:Author>
    </b:Author>
    <b:Title>Asanid al-Qiraat wa Manhaj al-Qurra' fi Dirasatiha</b:Title>
    <b:Year>2013</b:Year>
    <b:City>Riyadh</b:City>
    <b:Publisher>Al-Imam Muhammad bin Saud Islamic University</b:Publisher>
    <b:RefOrder>24</b:RefOrder>
  </b:Source>
  <b:Source>
    <b:Tag>AlS70</b:Tag>
    <b:SourceType>Book</b:SourceType>
    <b:Guid>{9A0F32F1-07AB-4643-862D-0BFCFAEA67A7}</b:Guid>
    <b:Author>
      <b:Author>
        <b:NameList>
          <b:Person>
            <b:Last>Al-Sabti</b:Last>
            <b:First>Abu</b:First>
            <b:Middle>al-Fadhl Iyadh bin Musa</b:Middle>
          </b:Person>
        </b:NameList>
      </b:Author>
    </b:Author>
    <b:Title>Al-Ilma' Ila Ma'rifat Usul al-Riwayah wa Taqyid al-Sama'</b:Title>
    <b:Year>1970</b:Year>
    <b:City>Kaherah</b:City>
    <b:Publisher>Dar al-Turath</b:Publisher>
    <b:RefOrder>25</b:RefOrder>
  </b:Source>
  <b:Source>
    <b:Tag>AlBtt</b:Tag>
    <b:SourceType>Book</b:SourceType>
    <b:Guid>{DE90EAC0-2FA1-4AB7-B1B0-3604B6F60B0E}</b:Guid>
    <b:Author>
      <b:Author>
        <b:NameList>
          <b:Person>
            <b:Last>Al-Baghdadiy</b:Last>
            <b:First>Abu</b:First>
            <b:Middle>Bakr Ahmad bin Ali al-Khatib</b:Middle>
          </b:Person>
        </b:NameList>
      </b:Author>
    </b:Author>
    <b:Title>Al-Kifayah fi 'Ilm al-Riwayah</b:Title>
    <b:Year>t.t</b:Year>
    <b:City>al-Madinah al-Munawwarah</b:City>
    <b:Publisher>al-maktabah al-Ilmiyyah</b:Publisher>
    <b:RefOrder>26</b:RefOrder>
  </b:Source>
  <b:Source>
    <b:Tag>AlQ92</b:Tag>
    <b:SourceType>Book</b:SourceType>
    <b:Guid>{0CD78FAD-7060-4CB4-A1C3-D047FE6BF76E}</b:Guid>
    <b:Author>
      <b:Author>
        <b:NameList>
          <b:Person>
            <b:Last>Al-Qasthalaniy</b:Last>
            <b:First>Abu</b:First>
            <b:Middle>al-Abbas Ahmad bin Muhammad bin Abi Bakr</b:Middle>
          </b:Person>
        </b:NameList>
      </b:Author>
    </b:Author>
    <b:Title>Lathaif al-Isyarat li Funun al-Qiraat</b:Title>
    <b:Year>t.t</b:Year>
    <b:City>Madinah</b:City>
    <b:Publisher>Majma' Malik al-Fahd li Thiba'ati al-Mushaf al-Syarif</b:Publisher>
    <b:RefOrder>27</b:RefOrder>
  </b:Source>
  <b:Source>
    <b:Tag>Badtt</b:Tag>
    <b:SourceType>Book</b:SourceType>
    <b:Guid>{42B74967-7C94-4F2E-8507-C98C2B63D47E}</b:Guid>
    <b:Author>
      <b:Author>
        <b:NameList>
          <b:Person>
            <b:Last>Badruddin al-Hamawi</b:Last>
            <b:First>Abu</b:First>
            <b:Middle>Abdillah Muhammad bin ibrahim</b:Middle>
          </b:Person>
        </b:NameList>
      </b:Author>
    </b:Author>
    <b:Title>Al-Manhal al-Rawiy fi Mukhtasar 'Ulum al-Hadis al-Nabawi</b:Title>
    <b:Year>t.t</b:Year>
    <b:City>Dimasyq</b:City>
    <b:Publisher>Dar al-Fikr</b:Publisher>
    <b:RefOrder>28</b:RefOrder>
  </b:Source>
  <b:Source>
    <b:Tag>Ibn87</b:Tag>
    <b:SourceType>Book</b:SourceType>
    <b:Guid>{E901A31F-02C6-4AC1-A05D-28B6E076DD1B}</b:Guid>
    <b:Author>
      <b:Author>
        <b:NameList>
          <b:Person>
            <b:Last>Ibn Rajab al-Hanbaliy</b:Last>
            <b:First>Zainuddin</b:First>
            <b:Middle>Abdul Rahman bin Ahmad bin Rajab</b:Middle>
          </b:Person>
        </b:NameList>
      </b:Author>
    </b:Author>
    <b:Title>Syarh 'Ilal al-Tirmizi</b:Title>
    <b:Year>1987</b:Year>
    <b:City>Al-Zarqa'</b:City>
    <b:Publisher>Maktabah al-Mannar</b:Publisher>
    <b:RefOrder>29</b:RefOrder>
  </b:Source>
  <b:Source>
    <b:Tag>AlD12</b:Tag>
    <b:SourceType>Book</b:SourceType>
    <b:Guid>{01F3F50A-3058-47C3-A005-A1697E29B12B}</b:Guid>
    <b:Author>
      <b:Author>
        <b:NameList>
          <b:Person>
            <b:Last>Al-Dimasyqiy</b:Last>
            <b:First>al-Allamah</b:First>
            <b:Middle>al-Syeikh Tahir al-Jazairiy</b:Middle>
          </b:Person>
        </b:NameList>
      </b:Author>
    </b:Author>
    <b:Title>Al-Tibyan li Ba'dhi al-Mabahith al-Muta'alliqah bi al-Quran 'ala Tariq al-Itqan</b:Title>
    <b:Year>1412</b:Year>
    <b:City>Beirut</b:City>
    <b:Publisher>Dar al-Basyair al-Islamiyyah</b:Publisher>
    <b:RefOrder>30</b:RefOrder>
  </b:Source>
  <b:Source>
    <b:Tag>Sis09</b:Tag>
    <b:SourceType>Book</b:SourceType>
    <b:Guid>{1AB3728C-2D8D-44F6-B831-A25B67E5A2FD}</b:Guid>
    <b:Author>
      <b:Author>
        <b:NameList>
          <b:Person>
            <b:Last>Sisiy</b:Last>
            <b:First>Dr.</b:First>
            <b:Middle>ABdul Baqi bin Abdul Rahman bin Suraqah</b:Middle>
          </b:Person>
        </b:NameList>
      </b:Author>
    </b:Author>
    <b:Title>Qawa'id Naqd al-Qiraat al-Qur'aniyyah</b:Title>
    <b:Year>2009</b:Year>
    <b:City>Riyadh</b:City>
    <b:Publisher>Dar Kunuz Ishbilia</b:Publisher>
    <b:RefOrder>31</b:RefOrder>
  </b:Source>
  <b:Source>
    <b:Tag>AlZ63</b:Tag>
    <b:SourceType>Book</b:SourceType>
    <b:Guid>{E989BFE5-4E8C-4BF0-9051-3BFC888812FD}</b:Guid>
    <b:Author>
      <b:Author>
        <b:NameList>
          <b:Person>
            <b:Last>Al-Zahabiy</b:Last>
            <b:First>Syamsuddin</b:First>
            <b:Middle>Abu 'Abdillah Muhammad bin Ahmad</b:Middle>
          </b:Person>
        </b:NameList>
      </b:Author>
    </b:Author>
    <b:Title>Mizan al-'I'tidal fi Naqd al-Rijal</b:Title>
    <b:Year>1963</b:Year>
    <b:City>Beirut</b:City>
    <b:Publisher>Dar al-Ma'rifah</b:Publisher>
    <b:RefOrder>32</b:RefOrder>
  </b:Source>
  <b:Source>
    <b:Tag>Abutt</b:Tag>
    <b:SourceType>Book</b:SourceType>
    <b:Guid>{380C7057-C7F0-4285-B728-89F257EE63ED}</b:Guid>
    <b:Author>
      <b:Author>
        <b:NameList>
          <b:Person>
            <b:Last>Abu Daud</b:Last>
            <b:First>Sulaiman</b:First>
            <b:Middle>bin Ash'ath al-Sajistaniy</b:Middle>
          </b:Person>
        </b:NameList>
      </b:Author>
    </b:Author>
    <b:Title>Sunan Abi Daud</b:Title>
    <b:Year>t.t</b:Year>
    <b:City>Dimasyq</b:City>
    <b:Publisher>Dar al-Fikr</b:Publisher>
    <b:Volume>1</b:Volume>
    <b:Pages>404</b:Pages>
    <b:RefOrder>33</b:RefOrder>
  </b:Source>
  <b:Source>
    <b:Tag>AlTtt</b:Tag>
    <b:SourceType>Book</b:SourceType>
    <b:Guid>{1A2826F2-8470-43DA-B7BF-7F0DDF0A8A34}</b:Guid>
    <b:Author>
      <b:Author>
        <b:NameList>
          <b:Person>
            <b:Last>Al-Tirmizi</b:Last>
            <b:First>Abu</b:First>
            <b:Middle>'Isa Muhammad bin 'Isa al-Sulamiy</b:Middle>
          </b:Person>
        </b:NameList>
      </b:Author>
    </b:Author>
    <b:Title>Sunan al-Tirmizi</b:Title>
    <b:Year>t.t</b:Year>
    <b:City>Beirut</b:City>
    <b:Publisher>Dar Ihya' al-Turath</b:Publisher>
    <b:RefOrder>34</b:RefOrder>
  </b:Source>
  <b:Source>
    <b:Tag>Ibn26</b:Tag>
    <b:SourceType>Book</b:SourceType>
    <b:Guid>{45A35158-9411-40CF-8795-705C9D66BE5B}</b:Guid>
    <b:Author>
      <b:Author>
        <b:NameList>
          <b:Person>
            <b:Last>Ibn Hajar</b:Last>
            <b:First>Abu</b:First>
            <b:Middle>al-Fadhl Ahmad bin Ali bin Muhammad</b:Middle>
          </b:Person>
        </b:NameList>
      </b:Author>
    </b:Author>
    <b:Title>Tahzib al-Tahzib</b:Title>
    <b:Year>1326</b:Year>
    <b:City>al-Hind</b:City>
    <b:Publisher>Matba'ah Dairah al-Ma'arif al-Nizhamiah</b:Publisher>
    <b:RefOrder>35</b:RefOrder>
  </b:Source>
  <b:Source>
    <b:Tag>Ibn94</b:Tag>
    <b:SourceType>Book</b:SourceType>
    <b:Guid>{AD879795-C1E4-4BC8-B5A6-3524BD83F18C}</b:Guid>
    <b:Author>
      <b:Author>
        <b:NameList>
          <b:Person>
            <b:Last>Ibn Qayyim</b:Last>
            <b:First>Syamshuddin</b:First>
            <b:Middle>Muhammad bin Abi Bakr</b:Middle>
          </b:Person>
        </b:NameList>
      </b:Author>
    </b:Author>
    <b:Title>Zad al-Ma'ad fi Hadyi Khair al-'Ibad</b:Title>
    <b:Year>1994</b:Year>
    <b:City>Beirut</b:City>
    <b:Publisher>Muassasah al-Risalah</b:Publisher>
    <b:RefOrder>36</b:RefOrder>
  </b:Source>
  <b:Source>
    <b:Tag>Saf16</b:Tag>
    <b:SourceType>Book</b:SourceType>
    <b:Guid>{E7CEF849-AF34-49F1-B23C-8AEBBD107CEF}</b:Guid>
    <b:Author>
      <b:Author>
        <b:NameList>
          <b:Person>
            <b:Last>Safiyuddin</b:Last>
            <b:First>Ahmad</b:First>
            <b:Middle>bin Abdillah al-Khazrajiy</b:Middle>
          </b:Person>
        </b:NameList>
      </b:Author>
    </b:Author>
    <b:Title>Khulasah Tazhib Tahzib al-Kamal fi Asma' al-Rijal</b:Title>
    <b:Year>1416</b:Year>
    <b:City>Beirut</b:City>
    <b:Publisher>Dar al-Bashair</b:Publisher>
    <b:RefOrder>37</b:RefOrder>
  </b:Source>
  <b:Source>
    <b:Tag>AlN96</b:Tag>
    <b:SourceType>Book</b:SourceType>
    <b:Guid>{C92F52BA-C69E-4A87-BBEF-3F57421D0F34}</b:Guid>
    <b:Author>
      <b:Author>
        <b:NameList>
          <b:Person>
            <b:Last>Al-Nasaie</b:Last>
            <b:First>Abu</b:First>
            <b:Middle>Abdil Rahman Ahmad bin Syu'aib</b:Middle>
          </b:Person>
        </b:NameList>
      </b:Author>
    </b:Author>
    <b:Title>Al-Dhu'afa' wa al-Matrukun</b:Title>
    <b:Year>1396</b:Year>
    <b:City>Halab</b:City>
    <b:Publisher>Dar al-Wa'ie</b:Publisher>
    <b:RefOrder>38</b:RefOrder>
  </b:Source>
  <b:Source>
    <b:Tag>Ibn00</b:Tag>
    <b:SourceType>Book</b:SourceType>
    <b:Guid>{6BFC8A37-13A1-41E1-95EE-93DAAE05B90C}</b:Guid>
    <b:Author>
      <b:Author>
        <b:NameList>
          <b:Person>
            <b:Last>Ibn hajar al-Asqalaniy</b:Last>
            <b:First>Abu</b:First>
            <b:Middle>al-Fadhl Amad bin Ali bin Muhammad</b:Middle>
          </b:Person>
        </b:NameList>
      </b:Author>
    </b:Author>
    <b:Title>Nuzhat al-Nazhar fi Taudhih Nukhbat al-Fikar</b:Title>
    <b:Year>2000</b:Year>
    <b:City>Dimasyq</b:City>
    <b:Publisher>Matba'ah al-Sobah</b:Publisher>
    <b:RefOrder>39</b:RefOrder>
  </b:Source>
  <b:Source>
    <b:Tag>Ibn941</b:Tag>
    <b:SourceType>Book</b:SourceType>
    <b:Guid>{E0DD9CB5-0F71-49F3-B083-D621F9D77C3D}</b:Guid>
    <b:Author>
      <b:Author>
        <b:NameList>
          <b:Person>
            <b:Last>Ibn al-Jazariy</b:Last>
            <b:First>Syamsuddin</b:First>
            <b:Middle>Muhammad bin Muhammad bin Yusuf</b:Middle>
          </b:Person>
        </b:NameList>
      </b:Author>
    </b:Author>
    <b:Title>Matn al-Tayyibah al-Nasyr fi al-Qiraat al-'Asyr</b:Title>
    <b:Year>1994</b:Year>
    <b:City>Jeddah</b:City>
    <b:Publisher>Dar al-Huda</b:Publisher>
    <b:RefOrder>40</b:RefOrder>
  </b:Source>
  <b:Source>
    <b:Tag>AlH901</b:Tag>
    <b:SourceType>Book</b:SourceType>
    <b:Guid>{8FD1E13E-328B-4702-A7F3-D55B20361494}</b:Guid>
    <b:Author>
      <b:Author>
        <b:NameList>
          <b:Person>
            <b:Last>Al-Hakim</b:Last>
            <b:First>Abu</b:First>
            <b:Middle>'Abdillah Muhammad bin 'Abdillah</b:Middle>
          </b:Person>
        </b:NameList>
      </b:Author>
    </b:Author>
    <b:Title>Al-Mustadrak 'ala al-Sahihain</b:Title>
    <b:Year>1990</b:Year>
    <b:City>Beirut</b:City>
    <b:Publisher>Dar al-Kutub al-Ilmiyyah</b:Publisher>
    <b:RefOrder>41</b:RefOrder>
  </b:Source>
  <b:Source>
    <b:Tag>Abutt1</b:Tag>
    <b:SourceType>Book</b:SourceType>
    <b:Guid>{2C1DB7FD-E89B-4E56-BF84-F53871B9531A}</b:Guid>
    <b:Author>
      <b:Author>
        <b:NameList>
          <b:Person>
            <b:Last>Abu 'Abdillah</b:Last>
            <b:First>Muhammad</b:First>
            <b:Middle>bin Muflih al-Hanbaliy</b:Middle>
          </b:Person>
        </b:NameList>
      </b:Author>
    </b:Author>
    <b:Title>Al-Adab al-Syar'iyyah</b:Title>
    <b:Year>t.t</b:Year>
    <b:City>Beirut</b:City>
    <b:Publisher>Dar al-'Aalam al-Khutub</b:Publisher>
    <b:RefOrder>42</b:RefOrder>
  </b:Source>
  <b:Source>
    <b:Tag>Ibn19</b:Tag>
    <b:SourceType>Book</b:SourceType>
    <b:Guid>{EBFF8A3B-4243-4CDE-A6E6-652B7925CBD4}</b:Guid>
    <b:Author>
      <b:Author>
        <b:NameList>
          <b:Person>
            <b:Last>Ibn Kathir</b:Last>
            <b:First>Abu</b:First>
            <b:Middle>al-Fida' Ismail bin Umar</b:Middle>
          </b:Person>
        </b:NameList>
      </b:Author>
    </b:Author>
    <b:Title>Tafsir al-Quran al-'Azhim</b:Title>
    <b:Year>1419</b:Year>
    <b:City>Beirut</b:City>
    <b:Publisher>Dar al-Kutub al-'Ilmiyyah</b:Publisher>
    <b:RefOrder>43</b:RefOrder>
  </b:Source>
  <b:Source>
    <b:Tag>Ibn05</b:Tag>
    <b:SourceType>Book</b:SourceType>
    <b:Guid>{F4E11CBE-0E78-455F-B1D7-B81D887127AC}</b:Guid>
    <b:Author>
      <b:Author>
        <b:NameList>
          <b:Person>
            <b:Last>Ibn Taimiyyah</b:Last>
            <b:First>Ahmad</b:First>
            <b:Middle>bin Abdul Halim al-Harraniy</b:Middle>
          </b:Person>
        </b:NameList>
      </b:Author>
    </b:Author>
    <b:Title>Majmu' al-Fatawa</b:Title>
    <b:Year>2005</b:Year>
    <b:City>Riyadh</b:City>
    <b:Publisher>Dar al-Wafa'</b:Publisher>
    <b:RefOrder>44</b:RefOrder>
  </b:Source>
  <b:Source>
    <b:Tag>Bad14</b:Tag>
    <b:SourceType>InternetSite</b:SourceType>
    <b:Guid>{D81F48DE-C4D1-44E5-B300-74DF1ED23666}</b:Guid>
    <b:Title>al-Qiraat al-Quraniyyah</b:Title>
    <b:Year>2014</b:Year>
    <b:Author>
      <b:Author>
        <b:NameList>
          <b:Person>
            <b:Last>al-Din</b:Last>
            <b:First>Badr</b:First>
          </b:Person>
        </b:NameList>
      </b:Author>
    </b:Author>
    <b:InternetSiteTitle>al-Utrujjah al-Islamiyyah</b:InternetSiteTitle>
    <b:Month>Februari</b:Month>
    <b:Day>2</b:Day>
    <b:URL>http://otrujja.com/2014-02-02/%D9%85%D8%B9%D9%86%D9%89-%D8%A7%D9%84%D8%A5%D8%AC%D8%A7%D8%B2%D8%A9-%D8%B9%D9%86%D8%AF-%D8%A7%D9%84%D9%82%D8%B1%D8%A7%D8%A1-3/</b:URL>
    <b:RefOrder>45</b:RefOrder>
  </b:Source>
  <b:Source>
    <b:Tag>Muh02</b:Tag>
    <b:SourceType>Book</b:SourceType>
    <b:Guid>{F5981ED8-02FC-40FB-BF98-E3BBA19C6CC2}</b:Guid>
    <b:Title>Toyyibah al-Nashr fi al-Qiraat al-'Ashr</b:Title>
    <b:Year>2002</b:Year>
    <b:Author>
      <b:Author>
        <b:NameList>
          <b:Person>
            <b:Last>al-Jazari</b:Last>
            <b:First>Muhammad</b:First>
            <b:Middle>bin Muhammad Ibn</b:Middle>
          </b:Person>
        </b:NameList>
      </b:Author>
    </b:Author>
    <b:City>Kaherah</b:City>
    <b:Publisher>Maktabah al-Sunnah</b:Publisher>
    <b:RefOrder>46</b:RefOrder>
  </b:Source>
  <b:Source>
    <b:Tag>IbnMu</b:Tag>
    <b:SourceType>Book</b:SourceType>
    <b:Guid>{D07B5FB4-BA6F-4465-A508-91CF000E1EC6}</b:Guid>
    <b:Author>
      <b:Author>
        <b:NameList>
          <b:Person>
            <b:Last>Ibn al-Jazari</b:Last>
            <b:First>Muhammad</b:First>
            <b:Middle>bin Muhammad</b:Middle>
          </b:Person>
        </b:NameList>
      </b:Author>
    </b:Author>
    <b:Title>Munjid al-Muqrien wa Mursyid al-Thalibin</b:Title>
    <b:Year>1999</b:Year>
    <b:City>Beirut</b:City>
    <b:Publisher>Dar al-Kutub al-Ilmiah</b:Publisher>
    <b:RefOrder>47</b:RefOrder>
  </b:Source>
  <b:Source>
    <b:Tag>alA08</b:Tag>
    <b:SourceType>Book</b:SourceType>
    <b:Guid>{6B651ADE-99BB-4F11-9C37-ADFB0FC58106}</b:Guid>
    <b:Author>
      <b:Author>
        <b:NameList>
          <b:Person>
            <b:Last>al-Athyubiy</b:Last>
            <b:First>Muhammad</b:First>
            <b:Middle>bin Ali bin Adam</b:Middle>
          </b:Person>
        </b:NameList>
      </b:Author>
    </b:Author>
    <b:Title>Syarah Alfiah al-Suyuti</b:Title>
    <b:Year>2008</b:Year>
    <b:City>Kaherah</b:City>
    <b:Publisher>Dar al-Aathar</b:Publisher>
    <b:RefOrder>48</b:RefOrder>
  </b:Source>
  <b:Source>
    <b:Tag>Mak99</b:Tag>
    <b:SourceType>Book</b:SourceType>
    <b:Guid>{3C1A4BA1-828F-4EFA-8F48-3AED1A7EE855}</b:Guid>
    <b:Author>
      <b:Author>
        <b:NameList>
          <b:Person>
            <b:Last>Makki</b:Last>
            <b:First>Abu</b:First>
            <b:Middle>Muhammad Makkiy bin Abi Talib al-Qabasi</b:Middle>
          </b:Person>
        </b:NameList>
      </b:Author>
    </b:Author>
    <b:Title>al-Ibanah Min Ma'ani al-Qiraat</b:Title>
    <b:Year>1399</b:Year>
    <b:City>Kaherah</b:City>
    <b:Publisher>Dar Nahdhah Misr</b:Publisher>
    <b:RefOrder>49</b:RefOrder>
  </b:Source>
  <b:Source>
    <b:Tag>alS04</b:Tag>
    <b:SourceType>Book</b:SourceType>
    <b:Guid>{324B4878-A730-4E47-874C-98644BB7E94E}</b:Guid>
    <b:Author>
      <b:Author>
        <b:NameList>
          <b:Person>
            <b:Last>al-Shafaqasi</b:Last>
            <b:First>Ali</b:First>
            <b:Middle>bin Muhammad bin Salim al-Maliki</b:Middle>
          </b:Person>
        </b:NameList>
      </b:Author>
    </b:Author>
    <b:Title>Ghaith al-Naf'ie fi al-Qiraat al-Sab'ie</b:Title>
    <b:Year>2004</b:Year>
    <b:City>Beirut</b:City>
    <b:Publisher>Dar al-Kutub al-'Ilmiyyah</b:Publisher>
    <b:RefOrder>50</b:RefOrder>
  </b:Source>
  <b:Source>
    <b:Tag>Ibn99</b:Tag>
    <b:SourceType>Book</b:SourceType>
    <b:Guid>{811E8D79-CA7F-4BEA-9D53-1BB156260F7B}</b:Guid>
    <b:Author>
      <b:Author>
        <b:NameList>
          <b:Person>
            <b:Last>Ibn al-Lahham</b:Last>
            <b:First>'Alauddin</b:First>
            <b:Middle>Abu al-Hasan Ali bin Muhammad al-Hanbaliy</b:Middle>
          </b:Person>
        </b:NameList>
      </b:Author>
    </b:Author>
    <b:Title>al-Qawaid wa al-Fawaid al-Usuliyyah</b:Title>
    <b:Year>1999</b:Year>
    <b:City>Beirut</b:City>
    <b:Publisher>Maktabah al-'Asriah</b:Publisher>
    <b:Pages>155</b:Pages>
    <b:RefOrder>51</b:RefOrder>
  </b:Source>
  <b:Source>
    <b:Tag>Yus05</b:Tag>
    <b:SourceType>Book</b:SourceType>
    <b:Guid>{662CB052-FEAD-4AFB-A9F0-127CCFFAC2E7}</b:Guid>
    <b:Author>
      <b:Author>
        <b:NameList>
          <b:Person>
            <b:Last>al-Tahanawi</b:Last>
            <b:First>Muhammad</b:First>
            <b:Middle>bin Ali Ibn al-Qadhi</b:Middle>
          </b:Person>
        </b:NameList>
      </b:Author>
    </b:Author>
    <b:Title>Mausu'ah Kashsyaf Istilahat al-Funun wa al-'Ulum</b:Title>
    <b:Year>1996</b:Year>
    <b:City>Beirut</b:City>
    <b:Publisher>Maktabah Lubnan Nasyirun</b:Publisher>
    <b:RefOrder>52</b:RefOrder>
  </b:Source>
  <b:Source>
    <b:Tag>Jam89</b:Tag>
    <b:SourceType>Book</b:SourceType>
    <b:Guid>{020217F4-1EE8-481A-BF29-C730C9C0BDBB}</b:Guid>
    <b:Author>
      <b:Author>
        <b:NameList>
          <b:Person>
            <b:Last>al-'Arab</b:Last>
            <b:First>Jama'ah</b:First>
            <b:Middle>min Kibar al-Lughawiyyin</b:Middle>
          </b:Person>
        </b:NameList>
      </b:Author>
    </b:Author>
    <b:Title>al-Mu'jam al-'Arabi al-Asasi</b:Title>
    <b:Year>1989</b:Year>
    <b:City>Kaherah</b:City>
    <b:Publisher>Larus</b:Publisher>
    <b:RefOrder>53</b:RefOrder>
  </b:Source>
  <b:Source>
    <b:Tag>Ahm10</b:Tag>
    <b:SourceType>JournalArticle</b:SourceType>
    <b:Guid>{3D46DEC1-BA65-46C8-BE3B-CC98628FE266}</b:Guid>
    <b:Title>Turuq Talaqqi al-Quran 'Inda al-Qurra'</b:Title>
    <b:Year>2010</b:Year>
    <b:Author>
      <b:Author>
        <b:NameList>
          <b:Person>
            <b:Last>al-Salum</b:Last>
            <b:First>Ahmad</b:First>
            <b:Middle>bin Faris</b:Middle>
          </b:Person>
        </b:NameList>
      </b:Author>
    </b:Author>
    <b:JournalName>Al-Jundiy al-Muslim</b:JournalName>
    <b:RefOrder>54</b:RefOrder>
  </b:Source>
  <b:Source>
    <b:Tag>AlZ06</b:Tag>
    <b:SourceType>Book</b:SourceType>
    <b:Guid>{3E30BDBE-E3AE-4D46-B145-A135938F1EED}</b:Guid>
    <b:Author>
      <b:Author>
        <b:NameList>
          <b:Person>
            <b:Last>Al-Zahabiy</b:Last>
            <b:First>Syamsuddin</b:First>
            <b:Middle>Abu Abdillah Muhammad bin Ahmad</b:Middle>
          </b:Person>
        </b:NameList>
      </b:Author>
    </b:Author>
    <b:Title>Siyar A'lam al-Nubala'</b:Title>
    <b:Year>2006</b:Year>
    <b:City>Kaherah</b:City>
    <b:Publisher>Dar al-Hadis</b:Publisher>
    <b:RefOrder>55</b:RefOrder>
  </b:Source>
  <b:Source>
    <b:Tag>Yah97</b:Tag>
    <b:SourceType>Book</b:SourceType>
    <b:Guid>{8C47EECD-F597-4939-9AE7-DA432D279FFE}</b:Guid>
    <b:Title>Al-Majmu' Syarah al-Muhazzab</b:Title>
    <b:Year>1997</b:Year>
    <b:Author>
      <b:Author>
        <b:NameList>
          <b:Person>
            <b:Last>al-Nawawi</b:Last>
            <b:First>Yahya</b:First>
            <b:Middle>bin Syaraf</b:Middle>
          </b:Person>
        </b:NameList>
      </b:Author>
    </b:Author>
    <b:City>Beirut</b:City>
    <b:Publisher>Dar al-Fikr</b:Publisher>
    <b:RefOrder>56</b:RefOrder>
  </b:Source>
  <b:Source>
    <b:Tag>AlS85</b:Tag>
    <b:SourceType>Book</b:SourceType>
    <b:Guid>{178E6CB1-49BA-45A6-AE77-126D09C5192B}</b:Guid>
    <b:Author>
      <b:Author>
        <b:NameList>
          <b:Person>
            <b:Last>al-Towil</b:Last>
            <b:First>Al-Sayyid</b:First>
            <b:Middle>Rizq</b:Middle>
          </b:Person>
        </b:NameList>
      </b:Author>
    </b:Author>
    <b:Title>Madkhal Fi 'Ulum al-Qiraat</b:Title>
    <b:Year>1985</b:Year>
    <b:City>Riyadh</b:City>
    <b:Publisher>Maktabah Faisaliyyah</b:Publisher>
    <b:RefOrder>57</b:RefOrder>
  </b:Source>
</b:Sources>
</file>

<file path=customXml/itemProps1.xml><?xml version="1.0" encoding="utf-8"?>
<ds:datastoreItem xmlns:ds="http://schemas.openxmlformats.org/officeDocument/2006/customXml" ds:itemID="{4EBAB5C2-3665-4B73-A10A-EA8116DC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USIM ASA</dc:creator>
  <cp:keywords/>
  <dc:description/>
  <cp:lastModifiedBy>pengguna</cp:lastModifiedBy>
  <cp:revision>2</cp:revision>
  <cp:lastPrinted>2018-12-28T16:54:00Z</cp:lastPrinted>
  <dcterms:created xsi:type="dcterms:W3CDTF">2019-03-05T05:20:00Z</dcterms:created>
  <dcterms:modified xsi:type="dcterms:W3CDTF">2019-03-05T05:20:00Z</dcterms:modified>
</cp:coreProperties>
</file>