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CA5C8" w14:textId="77777777" w:rsidR="00193D62" w:rsidRPr="005B5840" w:rsidRDefault="005B5840" w:rsidP="00193D62">
      <w:pPr>
        <w:pStyle w:val="Title"/>
        <w:rPr>
          <w:rFonts w:eastAsia="MS Mincho"/>
          <w:sz w:val="20"/>
        </w:rPr>
      </w:pPr>
      <w:bookmarkStart w:id="0" w:name="_GoBack"/>
      <w:bookmarkEnd w:id="0"/>
      <w:r w:rsidRPr="005B5840">
        <w:rPr>
          <w:rFonts w:eastAsia="MS Mincho"/>
          <w:sz w:val="20"/>
        </w:rPr>
        <w:t xml:space="preserve">Malaysia-China in the Liberalization Era: Structural </w:t>
      </w:r>
      <w:proofErr w:type="spellStart"/>
      <w:r w:rsidRPr="005B5840">
        <w:rPr>
          <w:rFonts w:eastAsia="MS Mincho"/>
          <w:sz w:val="20"/>
        </w:rPr>
        <w:t>Modeling</w:t>
      </w:r>
      <w:proofErr w:type="spellEnd"/>
      <w:r w:rsidRPr="005B5840">
        <w:rPr>
          <w:rFonts w:eastAsia="MS Mincho"/>
          <w:sz w:val="20"/>
        </w:rPr>
        <w:t xml:space="preserve"> of International Parity Conditions and Transmission Mechanism</w:t>
      </w:r>
    </w:p>
    <w:p w14:paraId="26B0DA5A" w14:textId="77777777" w:rsidR="005B5840" w:rsidRPr="005B5840" w:rsidRDefault="005B5840" w:rsidP="00193D62">
      <w:pPr>
        <w:pStyle w:val="Title"/>
        <w:rPr>
          <w:b w:val="0"/>
          <w:color w:val="000000"/>
          <w:sz w:val="20"/>
        </w:rPr>
      </w:pPr>
    </w:p>
    <w:p w14:paraId="69B5695D" w14:textId="77777777" w:rsidR="00193D62" w:rsidRPr="00193D62" w:rsidRDefault="00193D62" w:rsidP="00193D62">
      <w:pPr>
        <w:pStyle w:val="Title"/>
        <w:rPr>
          <w:rStyle w:val="FootnoteReference"/>
          <w:b w:val="0"/>
          <w:color w:val="000000"/>
          <w:sz w:val="20"/>
        </w:rPr>
      </w:pPr>
      <w:proofErr w:type="spellStart"/>
      <w:r w:rsidRPr="00193D62">
        <w:rPr>
          <w:b w:val="0"/>
          <w:color w:val="000000"/>
          <w:sz w:val="20"/>
        </w:rPr>
        <w:t>Chee-Wooi</w:t>
      </w:r>
      <w:proofErr w:type="spellEnd"/>
      <w:r w:rsidRPr="00193D62">
        <w:rPr>
          <w:b w:val="0"/>
          <w:color w:val="000000"/>
          <w:sz w:val="20"/>
        </w:rPr>
        <w:t xml:space="preserve">, </w:t>
      </w:r>
      <w:proofErr w:type="spellStart"/>
      <w:r w:rsidRPr="00193D62">
        <w:rPr>
          <w:b w:val="0"/>
          <w:color w:val="000000"/>
          <w:sz w:val="20"/>
        </w:rPr>
        <w:t>Hooy</w:t>
      </w:r>
      <w:r w:rsidR="005B5840" w:rsidRPr="005D7FFE">
        <w:rPr>
          <w:rStyle w:val="FootnoteReference"/>
          <w:b w:val="0"/>
          <w:color w:val="000000"/>
          <w:szCs w:val="24"/>
        </w:rPr>
        <w:footnoteReference w:customMarkFollows="1" w:id="1"/>
        <w:t>ψ</w:t>
      </w:r>
      <w:proofErr w:type="spellEnd"/>
    </w:p>
    <w:p w14:paraId="6F97F73D" w14:textId="77777777" w:rsidR="0016318B" w:rsidRDefault="00193D62" w:rsidP="00193D62">
      <w:pPr>
        <w:pStyle w:val="Title"/>
        <w:rPr>
          <w:b w:val="0"/>
          <w:sz w:val="20"/>
        </w:rPr>
      </w:pPr>
      <w:r w:rsidRPr="00193D62">
        <w:rPr>
          <w:b w:val="0"/>
          <w:color w:val="000000"/>
          <w:sz w:val="20"/>
        </w:rPr>
        <w:t>School of Management,</w:t>
      </w:r>
      <w:r w:rsidRPr="00193D62">
        <w:rPr>
          <w:b w:val="0"/>
          <w:color w:val="000000"/>
          <w:sz w:val="20"/>
          <w:vertAlign w:val="superscript"/>
        </w:rPr>
        <w:t xml:space="preserve"> </w:t>
      </w:r>
      <w:proofErr w:type="spellStart"/>
      <w:r w:rsidRPr="00193D62">
        <w:rPr>
          <w:b w:val="0"/>
          <w:sz w:val="20"/>
        </w:rPr>
        <w:t>Universiti</w:t>
      </w:r>
      <w:proofErr w:type="spellEnd"/>
      <w:r w:rsidRPr="00193D62">
        <w:rPr>
          <w:b w:val="0"/>
          <w:sz w:val="20"/>
        </w:rPr>
        <w:t xml:space="preserve"> </w:t>
      </w:r>
      <w:proofErr w:type="spellStart"/>
      <w:r w:rsidRPr="00193D62">
        <w:rPr>
          <w:b w:val="0"/>
          <w:sz w:val="20"/>
        </w:rPr>
        <w:t>Sains</w:t>
      </w:r>
      <w:proofErr w:type="spellEnd"/>
      <w:r w:rsidRPr="00193D62">
        <w:rPr>
          <w:b w:val="0"/>
          <w:sz w:val="20"/>
        </w:rPr>
        <w:t xml:space="preserve"> Malaysia</w:t>
      </w:r>
      <w:r w:rsidRPr="00193D62">
        <w:rPr>
          <w:b w:val="0"/>
          <w:color w:val="000000"/>
          <w:sz w:val="20"/>
        </w:rPr>
        <w:t>, Malaysia</w:t>
      </w:r>
      <w:r w:rsidRPr="00193D62">
        <w:rPr>
          <w:b w:val="0"/>
          <w:sz w:val="20"/>
        </w:rPr>
        <w:t xml:space="preserve"> </w:t>
      </w:r>
    </w:p>
    <w:p w14:paraId="33F4D2ED" w14:textId="77777777" w:rsidR="0016318B" w:rsidRDefault="009C6A64" w:rsidP="00193D62">
      <w:pPr>
        <w:pStyle w:val="Title"/>
        <w:rPr>
          <w:b w:val="0"/>
          <w:sz w:val="20"/>
        </w:rPr>
      </w:pPr>
      <w:hyperlink r:id="rId9" w:history="1">
        <w:r w:rsidR="0016318B" w:rsidRPr="00071582">
          <w:rPr>
            <w:rStyle w:val="Hyperlink"/>
            <w:b w:val="0"/>
            <w:sz w:val="20"/>
          </w:rPr>
          <w:t>cwhooy@usm.my</w:t>
        </w:r>
      </w:hyperlink>
    </w:p>
    <w:p w14:paraId="524C9A00" w14:textId="77777777" w:rsidR="00193D62" w:rsidRPr="00193D62" w:rsidRDefault="00193D62" w:rsidP="00193D62">
      <w:pPr>
        <w:pStyle w:val="Title"/>
        <w:rPr>
          <w:b w:val="0"/>
          <w:color w:val="000000"/>
          <w:sz w:val="20"/>
        </w:rPr>
      </w:pPr>
    </w:p>
    <w:p w14:paraId="5FBCCBEA" w14:textId="77777777" w:rsidR="00193D62" w:rsidRPr="00193D62" w:rsidRDefault="00193D62" w:rsidP="00193D62">
      <w:pPr>
        <w:pStyle w:val="Title"/>
        <w:rPr>
          <w:b w:val="0"/>
          <w:color w:val="000000"/>
          <w:sz w:val="20"/>
        </w:rPr>
      </w:pPr>
      <w:r w:rsidRPr="00193D62">
        <w:rPr>
          <w:b w:val="0"/>
          <w:color w:val="000000"/>
          <w:sz w:val="20"/>
        </w:rPr>
        <w:t xml:space="preserve">Chan </w:t>
      </w:r>
      <w:proofErr w:type="spellStart"/>
      <w:r w:rsidRPr="00193D62">
        <w:rPr>
          <w:b w:val="0"/>
          <w:color w:val="000000"/>
          <w:sz w:val="20"/>
        </w:rPr>
        <w:t>Tze</w:t>
      </w:r>
      <w:proofErr w:type="spellEnd"/>
      <w:r w:rsidRPr="00193D62">
        <w:rPr>
          <w:b w:val="0"/>
          <w:color w:val="000000"/>
          <w:sz w:val="20"/>
        </w:rPr>
        <w:t>-Haw</w:t>
      </w:r>
    </w:p>
    <w:p w14:paraId="68E7A8A5" w14:textId="77777777" w:rsidR="00193D62" w:rsidRPr="00193D62" w:rsidRDefault="00193D62" w:rsidP="00193D62">
      <w:pPr>
        <w:pStyle w:val="Title"/>
        <w:rPr>
          <w:b w:val="0"/>
          <w:sz w:val="20"/>
        </w:rPr>
      </w:pPr>
      <w:r w:rsidRPr="00193D62">
        <w:rPr>
          <w:b w:val="0"/>
          <w:color w:val="000000"/>
          <w:sz w:val="20"/>
        </w:rPr>
        <w:t>Graduate School of Business,</w:t>
      </w:r>
      <w:r w:rsidRPr="00193D62">
        <w:rPr>
          <w:b w:val="0"/>
          <w:color w:val="000000"/>
          <w:sz w:val="20"/>
          <w:vertAlign w:val="superscript"/>
        </w:rPr>
        <w:t xml:space="preserve"> </w:t>
      </w:r>
      <w:proofErr w:type="spellStart"/>
      <w:r w:rsidRPr="00193D62">
        <w:rPr>
          <w:b w:val="0"/>
          <w:sz w:val="20"/>
        </w:rPr>
        <w:t>Universiti</w:t>
      </w:r>
      <w:proofErr w:type="spellEnd"/>
      <w:r w:rsidRPr="00193D62">
        <w:rPr>
          <w:b w:val="0"/>
          <w:sz w:val="20"/>
        </w:rPr>
        <w:t xml:space="preserve"> </w:t>
      </w:r>
      <w:proofErr w:type="spellStart"/>
      <w:r w:rsidRPr="00193D62">
        <w:rPr>
          <w:b w:val="0"/>
          <w:sz w:val="20"/>
        </w:rPr>
        <w:t>Sains</w:t>
      </w:r>
      <w:proofErr w:type="spellEnd"/>
      <w:r w:rsidRPr="00193D62">
        <w:rPr>
          <w:b w:val="0"/>
          <w:sz w:val="20"/>
        </w:rPr>
        <w:t xml:space="preserve"> Malaysia</w:t>
      </w:r>
      <w:r w:rsidRPr="00193D62">
        <w:rPr>
          <w:b w:val="0"/>
          <w:color w:val="000000"/>
          <w:sz w:val="20"/>
        </w:rPr>
        <w:t>, Malaysia</w:t>
      </w:r>
      <w:r w:rsidRPr="00193D62">
        <w:rPr>
          <w:b w:val="0"/>
          <w:sz w:val="20"/>
        </w:rPr>
        <w:t xml:space="preserve"> </w:t>
      </w:r>
    </w:p>
    <w:p w14:paraId="1A3DBD93" w14:textId="77777777" w:rsidR="00D45DFE" w:rsidRDefault="009C6A64" w:rsidP="0016318B">
      <w:pPr>
        <w:autoSpaceDE w:val="0"/>
        <w:autoSpaceDN w:val="0"/>
        <w:adjustRightInd w:val="0"/>
        <w:jc w:val="center"/>
        <w:rPr>
          <w:rFonts w:eastAsia="MS Mincho"/>
        </w:rPr>
      </w:pPr>
      <w:hyperlink r:id="rId10" w:history="1">
        <w:r w:rsidR="0016318B" w:rsidRPr="00071582">
          <w:rPr>
            <w:rStyle w:val="Hyperlink"/>
            <w:rFonts w:eastAsia="MS Mincho"/>
          </w:rPr>
          <w:t>thchan@usm.my</w:t>
        </w:r>
      </w:hyperlink>
    </w:p>
    <w:p w14:paraId="4D9E7F00" w14:textId="77777777" w:rsidR="0016318B" w:rsidRPr="0016318B" w:rsidRDefault="0016318B" w:rsidP="0016318B">
      <w:pPr>
        <w:autoSpaceDE w:val="0"/>
        <w:autoSpaceDN w:val="0"/>
        <w:adjustRightInd w:val="0"/>
        <w:jc w:val="center"/>
        <w:rPr>
          <w:rFonts w:eastAsia="MS Mincho"/>
          <w:lang w:val="en-GB"/>
        </w:rPr>
      </w:pPr>
    </w:p>
    <w:p w14:paraId="547B1198" w14:textId="77777777" w:rsidR="00193D62" w:rsidRPr="00193D62" w:rsidRDefault="00193D62" w:rsidP="0016318B">
      <w:pPr>
        <w:pStyle w:val="Title"/>
        <w:rPr>
          <w:b w:val="0"/>
          <w:color w:val="000000"/>
          <w:sz w:val="20"/>
        </w:rPr>
      </w:pPr>
      <w:proofErr w:type="spellStart"/>
      <w:r w:rsidRPr="00193D62">
        <w:rPr>
          <w:b w:val="0"/>
          <w:color w:val="000000"/>
          <w:sz w:val="20"/>
        </w:rPr>
        <w:t>Tajul</w:t>
      </w:r>
      <w:proofErr w:type="spellEnd"/>
      <w:r w:rsidRPr="00193D62">
        <w:rPr>
          <w:b w:val="0"/>
          <w:color w:val="000000"/>
          <w:sz w:val="20"/>
        </w:rPr>
        <w:t xml:space="preserve"> </w:t>
      </w:r>
      <w:proofErr w:type="spellStart"/>
      <w:r w:rsidRPr="00193D62">
        <w:rPr>
          <w:b w:val="0"/>
          <w:color w:val="000000"/>
          <w:sz w:val="20"/>
        </w:rPr>
        <w:t>Ariffin</w:t>
      </w:r>
      <w:proofErr w:type="spellEnd"/>
      <w:r w:rsidRPr="00193D62">
        <w:rPr>
          <w:b w:val="0"/>
          <w:color w:val="000000"/>
          <w:sz w:val="20"/>
        </w:rPr>
        <w:t xml:space="preserve"> </w:t>
      </w:r>
      <w:proofErr w:type="spellStart"/>
      <w:r w:rsidRPr="00193D62">
        <w:rPr>
          <w:b w:val="0"/>
          <w:color w:val="000000"/>
          <w:sz w:val="20"/>
        </w:rPr>
        <w:t>Masron</w:t>
      </w:r>
      <w:proofErr w:type="spellEnd"/>
    </w:p>
    <w:p w14:paraId="105ED1F5" w14:textId="77777777" w:rsidR="00193D62" w:rsidRPr="00193D62" w:rsidRDefault="00193D62" w:rsidP="0016318B">
      <w:pPr>
        <w:pStyle w:val="Title"/>
        <w:rPr>
          <w:b w:val="0"/>
          <w:sz w:val="20"/>
        </w:rPr>
      </w:pPr>
      <w:r w:rsidRPr="00193D62">
        <w:rPr>
          <w:b w:val="0"/>
          <w:color w:val="000000"/>
          <w:sz w:val="20"/>
        </w:rPr>
        <w:t>School of Management,</w:t>
      </w:r>
      <w:r w:rsidRPr="00193D62">
        <w:rPr>
          <w:b w:val="0"/>
          <w:color w:val="000000"/>
          <w:sz w:val="20"/>
          <w:vertAlign w:val="superscript"/>
        </w:rPr>
        <w:t xml:space="preserve"> </w:t>
      </w:r>
      <w:proofErr w:type="spellStart"/>
      <w:r w:rsidRPr="00193D62">
        <w:rPr>
          <w:b w:val="0"/>
          <w:sz w:val="20"/>
        </w:rPr>
        <w:t>Universiti</w:t>
      </w:r>
      <w:proofErr w:type="spellEnd"/>
      <w:r w:rsidRPr="00193D62">
        <w:rPr>
          <w:b w:val="0"/>
          <w:sz w:val="20"/>
        </w:rPr>
        <w:t xml:space="preserve"> </w:t>
      </w:r>
      <w:proofErr w:type="spellStart"/>
      <w:r w:rsidRPr="00193D62">
        <w:rPr>
          <w:b w:val="0"/>
          <w:sz w:val="20"/>
        </w:rPr>
        <w:t>Sains</w:t>
      </w:r>
      <w:proofErr w:type="spellEnd"/>
      <w:r w:rsidRPr="00193D62">
        <w:rPr>
          <w:b w:val="0"/>
          <w:sz w:val="20"/>
        </w:rPr>
        <w:t xml:space="preserve"> Malaysia</w:t>
      </w:r>
      <w:r w:rsidRPr="00193D62">
        <w:rPr>
          <w:b w:val="0"/>
          <w:color w:val="000000"/>
          <w:sz w:val="20"/>
        </w:rPr>
        <w:t>, Malaysia</w:t>
      </w:r>
    </w:p>
    <w:p w14:paraId="20A96066" w14:textId="77777777" w:rsidR="00193D62" w:rsidRDefault="009C6A64" w:rsidP="0016318B">
      <w:pPr>
        <w:autoSpaceDE w:val="0"/>
        <w:autoSpaceDN w:val="0"/>
        <w:adjustRightInd w:val="0"/>
        <w:jc w:val="center"/>
        <w:rPr>
          <w:rFonts w:eastAsia="MS Mincho"/>
        </w:rPr>
      </w:pPr>
      <w:hyperlink r:id="rId11" w:history="1">
        <w:r w:rsidR="0016318B" w:rsidRPr="00071582">
          <w:rPr>
            <w:rStyle w:val="Hyperlink"/>
            <w:rFonts w:eastAsia="MS Mincho"/>
          </w:rPr>
          <w:t>tams@usm.my</w:t>
        </w:r>
      </w:hyperlink>
    </w:p>
    <w:p w14:paraId="1CE3EBF8" w14:textId="77777777" w:rsidR="0016318B" w:rsidRPr="00193D62" w:rsidRDefault="0016318B" w:rsidP="00D45DFE">
      <w:pPr>
        <w:autoSpaceDE w:val="0"/>
        <w:autoSpaceDN w:val="0"/>
        <w:adjustRightInd w:val="0"/>
        <w:jc w:val="both"/>
        <w:rPr>
          <w:rFonts w:eastAsia="MS Mincho"/>
        </w:rPr>
      </w:pPr>
    </w:p>
    <w:p w14:paraId="6EE0446F" w14:textId="77777777" w:rsidR="00D45DFE" w:rsidRPr="00193D62" w:rsidRDefault="00D45DFE" w:rsidP="005B5840">
      <w:pPr>
        <w:pStyle w:val="Default"/>
        <w:jc w:val="center"/>
        <w:rPr>
          <w:rFonts w:ascii="Times New Roman" w:hAnsi="Times New Roman" w:cs="Times New Roman"/>
          <w:b/>
          <w:snapToGrid w:val="0"/>
        </w:rPr>
      </w:pPr>
      <w:r w:rsidRPr="00193D62">
        <w:rPr>
          <w:rFonts w:ascii="Times New Roman" w:hAnsi="Times New Roman" w:cs="Times New Roman"/>
          <w:b/>
          <w:snapToGrid w:val="0"/>
        </w:rPr>
        <w:t>Abstract</w:t>
      </w:r>
    </w:p>
    <w:p w14:paraId="2CAE5122" w14:textId="77777777" w:rsidR="00D45DFE" w:rsidRPr="00193D62" w:rsidRDefault="005B5840" w:rsidP="00D45DFE">
      <w:pPr>
        <w:autoSpaceDE w:val="0"/>
        <w:autoSpaceDN w:val="0"/>
        <w:adjustRightInd w:val="0"/>
        <w:jc w:val="both"/>
        <w:rPr>
          <w:rFonts w:eastAsia="MS Mincho"/>
        </w:rPr>
      </w:pPr>
      <w:r w:rsidRPr="005B5840">
        <w:rPr>
          <w:rFonts w:eastAsia="MS Mincho"/>
        </w:rPr>
        <w:t xml:space="preserve">We construct a structural system that jointly examines Purchasing Power and Interest Parity conditions for Malaysia-China during 1996Q1-2010Q4. Structural VARX, over-identifying restrictions, bootstrapping and persistent profiles are </w:t>
      </w:r>
      <w:r w:rsidR="0003057A" w:rsidRPr="005B5840">
        <w:rPr>
          <w:rFonts w:eastAsia="MS Mincho"/>
        </w:rPr>
        <w:t>….</w:t>
      </w:r>
      <w:r w:rsidR="0003057A" w:rsidRPr="00193D62">
        <w:rPr>
          <w:rFonts w:eastAsia="MS Mincho"/>
        </w:rPr>
        <w:t>.</w:t>
      </w:r>
      <w:r w:rsidR="0003057A" w:rsidRPr="00193D62">
        <w:rPr>
          <w:rFonts w:eastAsia="MS Mincho"/>
          <w:color w:val="FF0000"/>
        </w:rPr>
        <w:t>(</w:t>
      </w:r>
      <w:proofErr w:type="gramStart"/>
      <w:r w:rsidR="0003057A" w:rsidRPr="00193D62">
        <w:rPr>
          <w:rFonts w:eastAsia="MS Mincho"/>
          <w:color w:val="FF0000"/>
        </w:rPr>
        <w:t>maximum</w:t>
      </w:r>
      <w:proofErr w:type="gramEnd"/>
      <w:r w:rsidR="0003057A" w:rsidRPr="00193D62">
        <w:rPr>
          <w:rFonts w:eastAsia="MS Mincho"/>
          <w:color w:val="FF0000"/>
        </w:rPr>
        <w:t xml:space="preserve"> 150 words)</w:t>
      </w:r>
    </w:p>
    <w:p w14:paraId="366B541A" w14:textId="77777777" w:rsidR="00D45DFE" w:rsidRPr="00193D62" w:rsidRDefault="00D45DFE" w:rsidP="00D45DFE">
      <w:pPr>
        <w:autoSpaceDE w:val="0"/>
        <w:autoSpaceDN w:val="0"/>
        <w:adjustRightInd w:val="0"/>
        <w:jc w:val="both"/>
        <w:rPr>
          <w:rFonts w:eastAsia="MS Mincho"/>
          <w:b/>
        </w:rPr>
      </w:pPr>
    </w:p>
    <w:p w14:paraId="4E863F9D" w14:textId="77777777" w:rsidR="00D45DFE" w:rsidRPr="00193D62" w:rsidRDefault="00D45DFE" w:rsidP="00193D62">
      <w:pPr>
        <w:jc w:val="both"/>
      </w:pPr>
      <w:r w:rsidRPr="005B5840">
        <w:rPr>
          <w:b/>
          <w:bCs/>
          <w:iCs/>
        </w:rPr>
        <w:t>Keywords</w:t>
      </w:r>
      <w:r w:rsidRPr="005B5840">
        <w:t>:</w:t>
      </w:r>
      <w:r w:rsidRPr="00193D62">
        <w:t xml:space="preserve"> International Parity Conditions, </w:t>
      </w:r>
      <w:r w:rsidR="001F1FBA" w:rsidRPr="00193D62">
        <w:t>Economic</w:t>
      </w:r>
      <w:r w:rsidRPr="00193D62">
        <w:t xml:space="preserve"> Integration, </w:t>
      </w:r>
      <w:r w:rsidR="00BC4F45" w:rsidRPr="00193D62">
        <w:t xml:space="preserve">Transmission Mechanism, </w:t>
      </w:r>
      <w:r w:rsidRPr="00193D62">
        <w:t xml:space="preserve">Structural </w:t>
      </w:r>
      <w:r w:rsidR="005C3DD8" w:rsidRPr="00193D62">
        <w:t>M</w:t>
      </w:r>
      <w:r w:rsidRPr="00193D62">
        <w:t>odeling, Bootstrapping</w:t>
      </w:r>
      <w:r w:rsidR="00193D62" w:rsidRPr="00193D62">
        <w:t xml:space="preserve"> </w:t>
      </w:r>
      <w:r w:rsidR="00193D62" w:rsidRPr="00193D62">
        <w:rPr>
          <w:rFonts w:eastAsia="MS Mincho"/>
          <w:color w:val="FF0000"/>
        </w:rPr>
        <w:t>(maximum 6 keywords)</w:t>
      </w:r>
    </w:p>
    <w:p w14:paraId="0F433F88" w14:textId="77777777" w:rsidR="00D45DFE" w:rsidRPr="00193D62" w:rsidRDefault="00D45DFE" w:rsidP="00D45DFE">
      <w:pPr>
        <w:ind w:left="1200" w:hanging="1200"/>
        <w:jc w:val="both"/>
      </w:pPr>
    </w:p>
    <w:p w14:paraId="21E9018D" w14:textId="539A35EC" w:rsidR="00193D62" w:rsidRDefault="005B5840" w:rsidP="005B5840">
      <w:pPr>
        <w:jc w:val="both"/>
      </w:pPr>
      <w:r w:rsidRPr="00A01E4E">
        <w:rPr>
          <w:b/>
        </w:rPr>
        <w:t xml:space="preserve">Acknowledgement: </w:t>
      </w:r>
      <w:r w:rsidRPr="00A01E4E">
        <w:t>This research was supported by a Research University (</w:t>
      </w:r>
      <w:r>
        <w:t xml:space="preserve">RU) grant from </w:t>
      </w:r>
      <w:proofErr w:type="spellStart"/>
      <w:r>
        <w:t>Universiti</w:t>
      </w:r>
      <w:proofErr w:type="spellEnd"/>
      <w:r>
        <w:t xml:space="preserve"> </w:t>
      </w:r>
      <w:proofErr w:type="spellStart"/>
      <w:r>
        <w:t>Sains</w:t>
      </w:r>
      <w:proofErr w:type="spellEnd"/>
      <w:r>
        <w:t xml:space="preserve"> </w:t>
      </w:r>
      <w:r w:rsidRPr="00A01E4E">
        <w:t>Malaysia [Grant no: 1001/PMGT/816150]. The usual disclaimer applies</w:t>
      </w:r>
    </w:p>
    <w:p w14:paraId="02ED3A18" w14:textId="77777777" w:rsidR="005B5840" w:rsidRDefault="005B5840" w:rsidP="00D45DFE">
      <w:pPr>
        <w:ind w:left="1200" w:hanging="1200"/>
        <w:jc w:val="both"/>
      </w:pPr>
    </w:p>
    <w:p w14:paraId="61DA6337" w14:textId="77777777" w:rsidR="00D45DFE" w:rsidRPr="00193D62" w:rsidRDefault="00193D62" w:rsidP="00DF7353">
      <w:pPr>
        <w:autoSpaceDE w:val="0"/>
        <w:autoSpaceDN w:val="0"/>
        <w:adjustRightInd w:val="0"/>
        <w:jc w:val="both"/>
        <w:rPr>
          <w:rFonts w:eastAsia="MS Mincho"/>
          <w:b/>
        </w:rPr>
      </w:pPr>
      <w:r w:rsidRPr="00193D62">
        <w:rPr>
          <w:rFonts w:eastAsia="MS Mincho"/>
          <w:b/>
        </w:rPr>
        <w:t xml:space="preserve">1. </w:t>
      </w:r>
      <w:r w:rsidR="00D45DFE" w:rsidRPr="00193D62">
        <w:rPr>
          <w:rFonts w:eastAsia="MS Mincho"/>
          <w:b/>
        </w:rPr>
        <w:t>Introduction</w:t>
      </w:r>
    </w:p>
    <w:p w14:paraId="121D0D2D" w14:textId="77777777" w:rsidR="00D45DFE" w:rsidRPr="00193D62" w:rsidRDefault="00D45DFE" w:rsidP="00DF7353">
      <w:pPr>
        <w:jc w:val="both"/>
      </w:pPr>
      <w:r w:rsidRPr="00193D62">
        <w:t>Being a</w:t>
      </w:r>
      <w:r w:rsidRPr="00193D62">
        <w:rPr>
          <w:rFonts w:eastAsiaTheme="minorHAnsi"/>
          <w:lang w:eastAsia="en-US"/>
        </w:rPr>
        <w:t xml:space="preserve"> small and open economy, Malaysia is highly </w:t>
      </w:r>
      <w:r w:rsidRPr="00193D62">
        <w:t xml:space="preserve">exposed to global economic. While foreign investment and trade have accelerated the domestic growth, the vulnerability to global price instability, financial risks and exchange rate variability is someway inevitable. It is thus crucial to </w:t>
      </w:r>
      <w:r w:rsidR="00D25985" w:rsidRPr="00193D62">
        <w:t xml:space="preserve">scrutiny </w:t>
      </w:r>
      <w:r w:rsidRPr="00193D62">
        <w:rPr>
          <w:rFonts w:eastAsiaTheme="minorHAnsi"/>
          <w:lang w:eastAsia="en-US"/>
        </w:rPr>
        <w:t xml:space="preserve">the links between the domestic and foreign economies, </w:t>
      </w:r>
      <w:r w:rsidR="00DA563C" w:rsidRPr="00193D62">
        <w:rPr>
          <w:rFonts w:eastAsiaTheme="minorHAnsi"/>
          <w:lang w:eastAsia="en-US"/>
        </w:rPr>
        <w:t>so that</w:t>
      </w:r>
      <w:r w:rsidRPr="00193D62">
        <w:rPr>
          <w:rFonts w:eastAsiaTheme="minorHAnsi"/>
          <w:lang w:eastAsia="en-US"/>
        </w:rPr>
        <w:t xml:space="preserve"> </w:t>
      </w:r>
      <w:r w:rsidR="00DA563C" w:rsidRPr="00193D62">
        <w:rPr>
          <w:rFonts w:eastAsiaTheme="minorHAnsi"/>
          <w:lang w:eastAsia="en-US"/>
        </w:rPr>
        <w:t xml:space="preserve">the dynamics of </w:t>
      </w:r>
      <w:r w:rsidRPr="00193D62">
        <w:rPr>
          <w:rFonts w:eastAsiaTheme="minorHAnsi"/>
          <w:lang w:eastAsia="en-US"/>
        </w:rPr>
        <w:t>economic transmission mechanism</w:t>
      </w:r>
      <w:r w:rsidR="00DA563C" w:rsidRPr="00193D62">
        <w:rPr>
          <w:rFonts w:eastAsiaTheme="minorHAnsi"/>
          <w:lang w:eastAsia="en-US"/>
        </w:rPr>
        <w:t xml:space="preserve"> can be better understood</w:t>
      </w:r>
      <w:r w:rsidRPr="00193D62">
        <w:rPr>
          <w:rFonts w:eastAsiaTheme="minorHAnsi"/>
          <w:lang w:eastAsia="en-US"/>
        </w:rPr>
        <w:t xml:space="preserve">. </w:t>
      </w:r>
    </w:p>
    <w:p w14:paraId="7F8F39CE" w14:textId="77777777" w:rsidR="00D45DFE" w:rsidRPr="00193D62" w:rsidRDefault="00D45DFE" w:rsidP="00DF7353">
      <w:pPr>
        <w:jc w:val="both"/>
      </w:pPr>
    </w:p>
    <w:p w14:paraId="34A99876" w14:textId="77777777" w:rsidR="00D45DFE" w:rsidRPr="005B5840" w:rsidRDefault="00D45DFE" w:rsidP="00193D62">
      <w:pPr>
        <w:jc w:val="both"/>
        <w:rPr>
          <w:rFonts w:eastAsiaTheme="minorHAnsi"/>
          <w:lang w:eastAsia="en-US"/>
        </w:rPr>
      </w:pPr>
      <w:r w:rsidRPr="00193D62">
        <w:rPr>
          <w:rFonts w:eastAsiaTheme="minorHAnsi"/>
          <w:lang w:eastAsia="en-US"/>
        </w:rPr>
        <w:t xml:space="preserve">In the past decades, Malaysia has been closely linked to the US and Japan. </w:t>
      </w:r>
      <w:proofErr w:type="gramStart"/>
      <w:r w:rsidR="00193D62" w:rsidRPr="00193D62">
        <w:rPr>
          <w:rFonts w:eastAsiaTheme="minorHAnsi"/>
          <w:lang w:eastAsia="en-US"/>
        </w:rPr>
        <w:t>….</w:t>
      </w:r>
      <w:r w:rsidRPr="00193D62">
        <w:rPr>
          <w:rFonts w:eastAsiaTheme="minorHAnsi"/>
          <w:lang w:eastAsia="en-US"/>
        </w:rPr>
        <w:t>(</w:t>
      </w:r>
      <w:proofErr w:type="gramEnd"/>
      <w:r w:rsidRPr="00193D62">
        <w:rPr>
          <w:rFonts w:eastAsiaTheme="minorHAnsi"/>
          <w:lang w:eastAsia="en-US"/>
        </w:rPr>
        <w:t>Frankel and Rose, 1998).</w:t>
      </w:r>
      <w:r w:rsidRPr="00193D62">
        <w:rPr>
          <w:rStyle w:val="FootnoteReference"/>
          <w:rFonts w:eastAsiaTheme="minorHAnsi"/>
          <w:lang w:eastAsia="en-US"/>
        </w:rPr>
        <w:footnoteReference w:id="2"/>
      </w:r>
      <w:r w:rsidRPr="00193D62">
        <w:rPr>
          <w:rFonts w:eastAsiaTheme="minorHAnsi"/>
          <w:lang w:eastAsia="en-US"/>
        </w:rPr>
        <w:t xml:space="preserve"> </w:t>
      </w:r>
      <w:r w:rsidRPr="00193D62">
        <w:t>Motivated by the mentioned issue</w:t>
      </w:r>
      <w:r w:rsidR="00D73E67" w:rsidRPr="00193D62">
        <w:t>s</w:t>
      </w:r>
      <w:r w:rsidRPr="00193D62">
        <w:t xml:space="preserve">, we hereby construct the </w:t>
      </w:r>
      <w:r w:rsidRPr="00193D62">
        <w:rPr>
          <w:rFonts w:eastAsiaTheme="minorHAnsi"/>
          <w:lang w:eastAsia="en-US"/>
        </w:rPr>
        <w:t>joint assessment of PPP and IRP between Malaysia-China using the struc</w:t>
      </w:r>
      <w:r w:rsidRPr="005B5840">
        <w:rPr>
          <w:rFonts w:eastAsiaTheme="minorHAnsi"/>
          <w:lang w:eastAsia="en-US"/>
        </w:rPr>
        <w:t>tural modeling method</w:t>
      </w:r>
      <w:r w:rsidR="00193D62" w:rsidRPr="005B5840">
        <w:rPr>
          <w:rFonts w:eastAsiaTheme="minorHAnsi"/>
          <w:lang w:eastAsia="en-US"/>
        </w:rPr>
        <w:t>…</w:t>
      </w:r>
      <w:r w:rsidRPr="005B5840">
        <w:rPr>
          <w:rFonts w:eastAsiaTheme="minorHAnsi"/>
          <w:lang w:eastAsia="en-US"/>
        </w:rPr>
        <w:t xml:space="preserve"> </w:t>
      </w:r>
    </w:p>
    <w:p w14:paraId="694AADD2" w14:textId="77777777" w:rsidR="00DA559C" w:rsidRPr="005B5840" w:rsidRDefault="00DA559C" w:rsidP="00F20AFB">
      <w:pPr>
        <w:jc w:val="both"/>
      </w:pPr>
    </w:p>
    <w:p w14:paraId="70FB5203" w14:textId="77777777" w:rsidR="005B5840" w:rsidRPr="005B5840" w:rsidRDefault="005B5840" w:rsidP="005B5840">
      <w:pPr>
        <w:autoSpaceDE w:val="0"/>
        <w:autoSpaceDN w:val="0"/>
        <w:adjustRightInd w:val="0"/>
        <w:jc w:val="both"/>
        <w:rPr>
          <w:rFonts w:eastAsia="MS Mincho"/>
          <w:b/>
        </w:rPr>
      </w:pPr>
      <w:r w:rsidRPr="005B5840">
        <w:rPr>
          <w:rFonts w:eastAsia="MS Mincho"/>
          <w:b/>
        </w:rPr>
        <w:t xml:space="preserve">2. </w:t>
      </w:r>
      <w:r>
        <w:rPr>
          <w:rFonts w:eastAsia="MS Mincho"/>
          <w:b/>
        </w:rPr>
        <w:t>Literature Review</w:t>
      </w:r>
    </w:p>
    <w:p w14:paraId="74863F8A" w14:textId="77777777" w:rsidR="00193D62" w:rsidRPr="005B5840" w:rsidRDefault="005B5840" w:rsidP="00F20AFB">
      <w:pPr>
        <w:jc w:val="both"/>
        <w:rPr>
          <w:rFonts w:eastAsia="MS Mincho"/>
          <w:color w:val="0000FF"/>
          <w:lang w:val="en-GB" w:eastAsia="ja-JP"/>
        </w:rPr>
      </w:pPr>
      <w:r w:rsidRPr="005B5840">
        <w:rPr>
          <w:rFonts w:eastAsia="MS Mincho"/>
          <w:lang w:val="en-GB"/>
        </w:rPr>
        <w:t>Empirically, PPP</w:t>
      </w:r>
      <w:r w:rsidRPr="005B5840">
        <w:rPr>
          <w:lang w:val="en-GB"/>
        </w:rPr>
        <w:t xml:space="preserve"> requires a constant real exchange which at least exhibits reversion towards the long run mean rate over time, and not </w:t>
      </w:r>
      <w:r w:rsidRPr="005B5840">
        <w:rPr>
          <w:color w:val="000000"/>
          <w:lang w:val="en-GB"/>
        </w:rPr>
        <w:t>driven by stochastic trends</w:t>
      </w:r>
      <w:r w:rsidRPr="005B5840">
        <w:rPr>
          <w:lang w:val="en-GB"/>
        </w:rPr>
        <w:t xml:space="preserve">. IRP, on the other hand, is commonly verified via the interest differential hypothesis or interest rates co-movement as indication for financial asset substitutability and capital integration across borders. While PPP is </w:t>
      </w:r>
      <w:r w:rsidRPr="005B5840">
        <w:rPr>
          <w:color w:val="000000"/>
          <w:lang w:val="en-GB"/>
        </w:rPr>
        <w:t xml:space="preserve">an elegant hypothesis, much failure appears in the early studies. </w:t>
      </w:r>
      <w:r w:rsidRPr="005B5840">
        <w:rPr>
          <w:rFonts w:eastAsia="MS Mincho"/>
          <w:lang w:val="en-GB" w:eastAsia="ja-JP"/>
        </w:rPr>
        <w:t xml:space="preserve">Among others, see </w:t>
      </w:r>
      <w:proofErr w:type="spellStart"/>
      <w:r w:rsidRPr="005B5840">
        <w:rPr>
          <w:rFonts w:eastAsia="MS Mincho"/>
          <w:color w:val="0000FF"/>
          <w:lang w:val="en-GB" w:eastAsia="ja-JP"/>
        </w:rPr>
        <w:t>Hakkio</w:t>
      </w:r>
      <w:proofErr w:type="spellEnd"/>
      <w:r w:rsidRPr="005B5840">
        <w:rPr>
          <w:rFonts w:eastAsia="MS Mincho"/>
          <w:color w:val="0000FF"/>
          <w:lang w:val="en-GB" w:eastAsia="ja-JP"/>
        </w:rPr>
        <w:t xml:space="preserve"> (1984), Edison (1985), Frankel (1986), and Meese and </w:t>
      </w:r>
      <w:proofErr w:type="spellStart"/>
      <w:r w:rsidRPr="005B5840">
        <w:rPr>
          <w:rFonts w:eastAsia="MS Mincho"/>
          <w:color w:val="0000FF"/>
          <w:lang w:val="en-GB" w:eastAsia="ja-JP"/>
        </w:rPr>
        <w:t>Rogoff</w:t>
      </w:r>
      <w:proofErr w:type="spellEnd"/>
      <w:r w:rsidRPr="005B5840">
        <w:rPr>
          <w:rFonts w:eastAsia="MS Mincho"/>
          <w:color w:val="0000FF"/>
          <w:lang w:val="en-GB" w:eastAsia="ja-JP"/>
        </w:rPr>
        <w:t xml:space="preserve"> (1988), Mark (1990), Edison and Pauls (1993).</w:t>
      </w:r>
      <w:r w:rsidRPr="005B5840">
        <w:rPr>
          <w:rFonts w:eastAsia="MS Mincho"/>
          <w:lang w:val="en-GB" w:eastAsia="ja-JP"/>
        </w:rPr>
        <w:t xml:space="preserve"> These studies generally found…</w:t>
      </w:r>
    </w:p>
    <w:p w14:paraId="5D40741D" w14:textId="77777777" w:rsidR="005B5840" w:rsidRPr="005B5840" w:rsidRDefault="005B5840" w:rsidP="00F20AFB">
      <w:pPr>
        <w:jc w:val="both"/>
      </w:pPr>
    </w:p>
    <w:p w14:paraId="0CB3546E" w14:textId="01D3409F" w:rsidR="00193D62" w:rsidRPr="005B5840" w:rsidRDefault="00F175E2" w:rsidP="00193D62">
      <w:pPr>
        <w:autoSpaceDE w:val="0"/>
        <w:autoSpaceDN w:val="0"/>
        <w:adjustRightInd w:val="0"/>
        <w:jc w:val="both"/>
        <w:rPr>
          <w:rFonts w:eastAsia="MS Mincho"/>
          <w:b/>
        </w:rPr>
      </w:pPr>
      <w:r>
        <w:rPr>
          <w:rFonts w:eastAsia="MS Mincho"/>
          <w:b/>
        </w:rPr>
        <w:t>3</w:t>
      </w:r>
      <w:r w:rsidR="00193D62" w:rsidRPr="005B5840">
        <w:rPr>
          <w:rFonts w:eastAsia="MS Mincho"/>
          <w:b/>
        </w:rPr>
        <w:t>. Methodology</w:t>
      </w:r>
    </w:p>
    <w:p w14:paraId="56BAB5E9" w14:textId="77777777" w:rsidR="005B5840" w:rsidRPr="005B5840" w:rsidRDefault="005B5840" w:rsidP="005B5840">
      <w:pPr>
        <w:autoSpaceDE w:val="0"/>
        <w:autoSpaceDN w:val="0"/>
        <w:adjustRightInd w:val="0"/>
        <w:jc w:val="both"/>
        <w:rPr>
          <w:rFonts w:eastAsia="Calibri"/>
          <w:lang w:val="en-GB" w:eastAsia="en-US"/>
        </w:rPr>
      </w:pPr>
      <w:r w:rsidRPr="005B5840">
        <w:rPr>
          <w:rFonts w:eastAsia="Calibri"/>
          <w:lang w:val="en-GB" w:eastAsia="en-US"/>
        </w:rPr>
        <w:t xml:space="preserve">Being the first equilibrium theory of exchange rate, PPP postulates that the nominal exchange rate is proportional to the relative price so that the real exchange rate remains constant overtime. The theoretical motivation for PPP is based on the assumption that internationally produced goods are perfect substitutes for domestic goods. On the other hand, the second equilibrium theory of exchange rate―UIP, states that the interest rate differential between two </w:t>
      </w:r>
      <w:r w:rsidRPr="005B5840">
        <w:rPr>
          <w:rFonts w:eastAsia="Calibri"/>
          <w:lang w:val="en-GB" w:eastAsia="en-US"/>
        </w:rPr>
        <w:lastRenderedPageBreak/>
        <w:t xml:space="preserve">countries is equal to the expected change in the spot exchange rates. UIP assumes zero risk </w:t>
      </w:r>
      <w:proofErr w:type="gramStart"/>
      <w:r w:rsidRPr="005B5840">
        <w:rPr>
          <w:rFonts w:eastAsia="Calibri"/>
          <w:lang w:val="en-GB" w:eastAsia="en-US"/>
        </w:rPr>
        <w:t>premium</w:t>
      </w:r>
      <w:proofErr w:type="gramEnd"/>
      <w:r w:rsidRPr="005B5840">
        <w:rPr>
          <w:rFonts w:eastAsia="Calibri"/>
          <w:lang w:val="en-GB" w:eastAsia="en-US"/>
        </w:rPr>
        <w:t xml:space="preserve"> so that financial assets are substitutes in cross-border capital markets.</w:t>
      </w:r>
    </w:p>
    <w:p w14:paraId="53E17D17" w14:textId="77777777" w:rsidR="005B5840" w:rsidRPr="005B5840" w:rsidRDefault="005B5840" w:rsidP="005B5840">
      <w:pPr>
        <w:autoSpaceDE w:val="0"/>
        <w:autoSpaceDN w:val="0"/>
        <w:adjustRightInd w:val="0"/>
        <w:jc w:val="both"/>
        <w:rPr>
          <w:rFonts w:eastAsia="Calibri"/>
          <w:lang w:val="en-GB" w:eastAsia="en-US"/>
        </w:rPr>
      </w:pPr>
    </w:p>
    <w:p w14:paraId="0C88C635" w14:textId="77777777" w:rsidR="005B5840" w:rsidRPr="005B5840" w:rsidRDefault="005B5840" w:rsidP="005B5840">
      <w:pPr>
        <w:autoSpaceDE w:val="0"/>
        <w:autoSpaceDN w:val="0"/>
        <w:adjustRightInd w:val="0"/>
        <w:jc w:val="both"/>
        <w:rPr>
          <w:lang w:val="en-GB"/>
        </w:rPr>
      </w:pPr>
      <w:r w:rsidRPr="005B5840">
        <w:rPr>
          <w:lang w:val="en-GB"/>
        </w:rPr>
        <w:t xml:space="preserve">If we let </w:t>
      </w:r>
      <w:r w:rsidRPr="005B5840">
        <w:rPr>
          <w:position w:val="-12"/>
          <w:lang w:val="en-GB"/>
        </w:rPr>
        <w:object w:dxaOrig="580" w:dyaOrig="360" w14:anchorId="2605D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pt" o:ole="">
            <v:imagedata r:id="rId12" o:title=""/>
          </v:shape>
          <o:OLEObject Type="Embed" ProgID="Equation.3" ShapeID="_x0000_i1025" DrawAspect="Content" ObjectID="_1611049050" r:id="rId13"/>
        </w:object>
      </w:r>
      <w:r w:rsidRPr="005B5840">
        <w:rPr>
          <w:lang w:val="en-GB"/>
        </w:rPr>
        <w:t>be the log spot exchange rate of RM/</w:t>
      </w:r>
      <w:proofErr w:type="spellStart"/>
      <w:r w:rsidRPr="005B5840">
        <w:rPr>
          <w:lang w:val="en-GB"/>
        </w:rPr>
        <w:t>yuan</w:t>
      </w:r>
      <w:proofErr w:type="spellEnd"/>
      <w:r w:rsidRPr="005B5840">
        <w:rPr>
          <w:lang w:val="en-GB"/>
        </w:rPr>
        <w:t xml:space="preserve">, </w:t>
      </w:r>
      <w:r w:rsidRPr="005B5840">
        <w:rPr>
          <w:position w:val="-12"/>
          <w:lang w:val="en-GB"/>
        </w:rPr>
        <w:object w:dxaOrig="360" w:dyaOrig="360" w14:anchorId="48466EF6">
          <v:shape id="_x0000_i1026" type="#_x0000_t75" style="width:18pt;height:18pt" o:ole="">
            <v:imagedata r:id="rId14" o:title=""/>
          </v:shape>
          <o:OLEObject Type="Embed" ProgID="Equation.3" ShapeID="_x0000_i1026" DrawAspect="Content" ObjectID="_1611049051" r:id="rId15"/>
        </w:object>
      </w:r>
      <w:r w:rsidRPr="005B5840">
        <w:rPr>
          <w:lang w:val="en-GB"/>
        </w:rPr>
        <w:t xml:space="preserve"> and </w:t>
      </w:r>
      <w:r w:rsidRPr="005B5840">
        <w:rPr>
          <w:position w:val="-12"/>
          <w:lang w:val="en-GB"/>
        </w:rPr>
        <w:object w:dxaOrig="340" w:dyaOrig="360" w14:anchorId="511BBCCA">
          <v:shape id="_x0000_i1027" type="#_x0000_t75" style="width:18pt;height:18pt" o:ole="">
            <v:imagedata r:id="rId16" o:title=""/>
          </v:shape>
          <o:OLEObject Type="Embed" ProgID="Equation.3" ShapeID="_x0000_i1027" DrawAspect="Content" ObjectID="_1611049052" r:id="rId17"/>
        </w:object>
      </w:r>
      <w:r w:rsidRPr="005B5840">
        <w:rPr>
          <w:lang w:val="en-GB"/>
        </w:rPr>
        <w:t xml:space="preserve"> be the log domestic (Malaysia) and foreign (China) price levels respectively, the PPP condition is defined as</w:t>
      </w:r>
      <w:r>
        <w:rPr>
          <w:lang w:val="en-GB"/>
        </w:rPr>
        <w:t>:</w:t>
      </w:r>
    </w:p>
    <w:p w14:paraId="7628937A" w14:textId="77777777" w:rsidR="005B5840" w:rsidRPr="005B5840" w:rsidRDefault="005B5840" w:rsidP="005B5840">
      <w:pPr>
        <w:pStyle w:val="BodyText"/>
        <w:spacing w:line="240" w:lineRule="auto"/>
        <w:ind w:firstLine="720"/>
        <w:rPr>
          <w:sz w:val="20"/>
          <w:lang w:val="en-GB"/>
        </w:rPr>
      </w:pPr>
      <w:r w:rsidRPr="005B5840">
        <w:rPr>
          <w:position w:val="-10"/>
          <w:sz w:val="20"/>
          <w:lang w:val="en-GB"/>
        </w:rPr>
        <w:object w:dxaOrig="1500" w:dyaOrig="300" w14:anchorId="30268107">
          <v:shape id="_x0000_i1028" type="#_x0000_t75" style="width:75pt;height:15pt" o:ole="">
            <v:imagedata r:id="rId18" o:title=""/>
          </v:shape>
          <o:OLEObject Type="Embed" ProgID="Equation.3" ShapeID="_x0000_i1028" DrawAspect="Content" ObjectID="_1611049053" r:id="rId19"/>
        </w:object>
      </w:r>
      <w:r w:rsidRPr="005B5840">
        <w:rPr>
          <w:sz w:val="20"/>
          <w:lang w:val="en-GB"/>
        </w:rPr>
        <w:tab/>
      </w:r>
      <w:r w:rsidRPr="005B5840">
        <w:rPr>
          <w:sz w:val="20"/>
          <w:lang w:val="en-GB"/>
        </w:rPr>
        <w:tab/>
      </w:r>
      <w:r w:rsidRPr="005B5840">
        <w:rPr>
          <w:sz w:val="20"/>
          <w:lang w:val="en-GB"/>
        </w:rPr>
        <w:tab/>
      </w:r>
      <w:r w:rsidRPr="005B5840">
        <w:rPr>
          <w:sz w:val="20"/>
          <w:lang w:val="en-GB"/>
        </w:rPr>
        <w:tab/>
      </w:r>
      <w:r w:rsidRPr="005B5840">
        <w:rPr>
          <w:sz w:val="20"/>
          <w:lang w:val="en-GB"/>
        </w:rPr>
        <w:tab/>
      </w:r>
      <w:r w:rsidRPr="005B5840">
        <w:rPr>
          <w:sz w:val="20"/>
          <w:lang w:val="en-GB"/>
        </w:rPr>
        <w:tab/>
      </w:r>
      <w:r w:rsidRPr="005B5840">
        <w:rPr>
          <w:sz w:val="20"/>
          <w:lang w:val="en-GB"/>
        </w:rPr>
        <w:tab/>
      </w:r>
      <w:r w:rsidRPr="005B5840">
        <w:rPr>
          <w:sz w:val="20"/>
          <w:lang w:val="en-GB"/>
        </w:rPr>
        <w:tab/>
        <w:t>(1)</w:t>
      </w:r>
    </w:p>
    <w:p w14:paraId="0DAEA051" w14:textId="77777777" w:rsidR="005B5840" w:rsidRPr="005B5840" w:rsidRDefault="005B5840" w:rsidP="005B5840">
      <w:pPr>
        <w:autoSpaceDE w:val="0"/>
        <w:autoSpaceDN w:val="0"/>
        <w:adjustRightInd w:val="0"/>
        <w:rPr>
          <w:rFonts w:eastAsia="Calibri"/>
          <w:lang w:val="en-GB" w:eastAsia="en-US"/>
        </w:rPr>
      </w:pPr>
      <w:proofErr w:type="gramStart"/>
      <w:r w:rsidRPr="005B5840">
        <w:rPr>
          <w:rFonts w:eastAsia="Calibri"/>
          <w:lang w:val="en-GB" w:eastAsia="en-US"/>
        </w:rPr>
        <w:t>while</w:t>
      </w:r>
      <w:proofErr w:type="gramEnd"/>
      <w:r w:rsidRPr="005B5840">
        <w:rPr>
          <w:rFonts w:eastAsia="Calibri"/>
          <w:lang w:val="en-GB" w:eastAsia="en-US"/>
        </w:rPr>
        <w:t xml:space="preserve"> UIP condition is represented by</w:t>
      </w:r>
    </w:p>
    <w:p w14:paraId="7F48F39A" w14:textId="77777777" w:rsidR="005B5840" w:rsidRPr="005B5840" w:rsidRDefault="005B5840" w:rsidP="005B5840">
      <w:pPr>
        <w:pStyle w:val="BodyText"/>
        <w:spacing w:line="240" w:lineRule="auto"/>
        <w:ind w:firstLine="720"/>
        <w:rPr>
          <w:sz w:val="20"/>
          <w:lang w:val="en-GB"/>
        </w:rPr>
      </w:pPr>
      <w:r w:rsidRPr="005B5840">
        <w:rPr>
          <w:position w:val="-10"/>
          <w:sz w:val="20"/>
          <w:lang w:val="en-GB"/>
        </w:rPr>
        <w:object w:dxaOrig="2720" w:dyaOrig="300" w14:anchorId="5030B5BF">
          <v:shape id="_x0000_i1029" type="#_x0000_t75" style="width:135.75pt;height:15pt" o:ole="">
            <v:imagedata r:id="rId20" o:title=""/>
          </v:shape>
          <o:OLEObject Type="Embed" ProgID="Equation.3" ShapeID="_x0000_i1029" DrawAspect="Content" ObjectID="_1611049054" r:id="rId21"/>
        </w:object>
      </w:r>
      <w:r w:rsidRPr="005B5840">
        <w:rPr>
          <w:position w:val="-12"/>
          <w:sz w:val="20"/>
          <w:lang w:val="en-GB"/>
        </w:rPr>
        <w:t xml:space="preserve"> </w:t>
      </w:r>
      <w:r w:rsidRPr="005B5840">
        <w:rPr>
          <w:sz w:val="20"/>
          <w:lang w:val="en-GB"/>
        </w:rPr>
        <w:tab/>
      </w:r>
      <w:r w:rsidRPr="005B5840">
        <w:rPr>
          <w:sz w:val="20"/>
          <w:lang w:val="en-GB"/>
        </w:rPr>
        <w:tab/>
      </w:r>
      <w:r w:rsidRPr="005B5840">
        <w:rPr>
          <w:sz w:val="20"/>
          <w:lang w:val="en-GB"/>
        </w:rPr>
        <w:tab/>
      </w:r>
      <w:r w:rsidRPr="005B5840">
        <w:rPr>
          <w:sz w:val="20"/>
          <w:lang w:val="en-GB"/>
        </w:rPr>
        <w:tab/>
      </w:r>
      <w:r w:rsidRPr="005B5840">
        <w:rPr>
          <w:sz w:val="20"/>
          <w:lang w:val="en-GB"/>
        </w:rPr>
        <w:tab/>
      </w:r>
      <w:r>
        <w:rPr>
          <w:sz w:val="20"/>
          <w:lang w:val="en-GB"/>
        </w:rPr>
        <w:tab/>
      </w:r>
      <w:r w:rsidRPr="005B5840">
        <w:rPr>
          <w:sz w:val="20"/>
          <w:lang w:val="en-GB"/>
        </w:rPr>
        <w:tab/>
        <w:t>(2)</w:t>
      </w:r>
    </w:p>
    <w:p w14:paraId="2CB65348" w14:textId="77777777" w:rsidR="00193D62" w:rsidRPr="005B5840" w:rsidRDefault="005B5840" w:rsidP="005B5840">
      <w:pPr>
        <w:autoSpaceDE w:val="0"/>
        <w:autoSpaceDN w:val="0"/>
        <w:adjustRightInd w:val="0"/>
        <w:jc w:val="both"/>
        <w:rPr>
          <w:rFonts w:eastAsia="MS Mincho"/>
          <w:b/>
        </w:rPr>
      </w:pPr>
      <w:r w:rsidRPr="005B5840">
        <w:rPr>
          <w:rFonts w:eastAsia="Calibri"/>
          <w:lang w:val="en-GB" w:eastAsia="en-US"/>
        </w:rPr>
        <w:t xml:space="preserve">with </w:t>
      </w:r>
      <w:r w:rsidRPr="005B5840">
        <w:rPr>
          <w:position w:val="-10"/>
          <w:lang w:val="en-GB"/>
        </w:rPr>
        <w:object w:dxaOrig="380" w:dyaOrig="300" w14:anchorId="77B92FCF">
          <v:shape id="_x0000_i1030" type="#_x0000_t75" style="width:19.5pt;height:15pt" o:ole="">
            <v:imagedata r:id="rId22" o:title=""/>
          </v:shape>
          <o:OLEObject Type="Embed" ProgID="Equation.3" ShapeID="_x0000_i1030" DrawAspect="Content" ObjectID="_1611049055" r:id="rId23"/>
        </w:object>
      </w:r>
      <w:r w:rsidRPr="005B5840">
        <w:rPr>
          <w:rFonts w:eastAsia="Calibri"/>
          <w:lang w:val="en-GB" w:eastAsia="en-US"/>
        </w:rPr>
        <w:t xml:space="preserve">and </w:t>
      </w:r>
      <w:r w:rsidRPr="005B5840">
        <w:rPr>
          <w:position w:val="-10"/>
          <w:lang w:val="en-GB"/>
        </w:rPr>
        <w:object w:dxaOrig="360" w:dyaOrig="300" w14:anchorId="166C06B9">
          <v:shape id="_x0000_i1031" type="#_x0000_t75" style="width:18pt;height:15pt" o:ole="">
            <v:imagedata r:id="rId24" o:title=""/>
          </v:shape>
          <o:OLEObject Type="Embed" ProgID="Equation.3" ShapeID="_x0000_i1031" DrawAspect="Content" ObjectID="_1611049056" r:id="rId25"/>
        </w:object>
      </w:r>
      <w:r w:rsidRPr="005B5840">
        <w:rPr>
          <w:rFonts w:eastAsia="Calibri"/>
          <w:lang w:val="en-GB" w:eastAsia="en-US"/>
        </w:rPr>
        <w:t xml:space="preserve"> being the respective nominal interest rates denominated in domestic and foreign currencies compounded over the time period </w:t>
      </w:r>
      <w:r w:rsidRPr="005B5840">
        <w:rPr>
          <w:rFonts w:eastAsia="Calibri"/>
          <w:i/>
          <w:lang w:val="en-GB" w:eastAsia="en-US"/>
        </w:rPr>
        <w:t>t - (t - 1)</w:t>
      </w:r>
      <w:r w:rsidRPr="005B5840">
        <w:rPr>
          <w:rFonts w:eastAsia="Calibri"/>
          <w:lang w:val="en-GB" w:eastAsia="en-US"/>
        </w:rPr>
        <w:t xml:space="preserve">, and </w:t>
      </w:r>
      <w:r w:rsidRPr="005B5840">
        <w:rPr>
          <w:rFonts w:eastAsia="Calibri"/>
          <w:i/>
          <w:lang w:val="en-GB" w:eastAsia="en-US"/>
        </w:rPr>
        <w:t>E</w:t>
      </w:r>
      <w:r w:rsidRPr="005B5840">
        <w:rPr>
          <w:rFonts w:eastAsia="Calibri"/>
          <w:i/>
          <w:vertAlign w:val="subscript"/>
          <w:lang w:val="en-GB" w:eastAsia="en-US"/>
        </w:rPr>
        <w:t>t</w:t>
      </w:r>
      <w:r w:rsidRPr="005B5840">
        <w:rPr>
          <w:rFonts w:eastAsia="Calibri"/>
          <w:lang w:val="en-GB" w:eastAsia="en-US"/>
        </w:rPr>
        <w:t xml:space="preserve"> (.) denotes the expected value formed at time </w:t>
      </w:r>
      <w:r w:rsidRPr="005B5840">
        <w:rPr>
          <w:rFonts w:eastAsia="Calibri"/>
          <w:i/>
          <w:lang w:val="en-GB" w:eastAsia="en-US"/>
        </w:rPr>
        <w:t>t</w:t>
      </w:r>
      <w:r w:rsidRPr="005B5840">
        <w:rPr>
          <w:rFonts w:eastAsia="Calibri"/>
          <w:lang w:val="en-GB" w:eastAsia="en-US"/>
        </w:rPr>
        <w:t>.</w:t>
      </w:r>
    </w:p>
    <w:p w14:paraId="69A5C034" w14:textId="77777777" w:rsidR="00193D62" w:rsidRPr="005B5840" w:rsidRDefault="00193D62" w:rsidP="00193D62">
      <w:pPr>
        <w:autoSpaceDE w:val="0"/>
        <w:autoSpaceDN w:val="0"/>
        <w:adjustRightInd w:val="0"/>
        <w:jc w:val="both"/>
        <w:rPr>
          <w:rFonts w:eastAsia="MS Mincho"/>
          <w:b/>
        </w:rPr>
      </w:pPr>
    </w:p>
    <w:p w14:paraId="16CB7CEF" w14:textId="05BF20A7" w:rsidR="00193D62" w:rsidRPr="005B5840" w:rsidRDefault="00F175E2" w:rsidP="00193D62">
      <w:pPr>
        <w:autoSpaceDE w:val="0"/>
        <w:autoSpaceDN w:val="0"/>
        <w:adjustRightInd w:val="0"/>
        <w:jc w:val="both"/>
        <w:rPr>
          <w:rFonts w:eastAsia="MS Mincho"/>
          <w:b/>
        </w:rPr>
      </w:pPr>
      <w:r>
        <w:rPr>
          <w:rFonts w:eastAsia="MS Mincho"/>
          <w:b/>
        </w:rPr>
        <w:t>4</w:t>
      </w:r>
      <w:r w:rsidR="00193D62" w:rsidRPr="005B5840">
        <w:rPr>
          <w:rFonts w:eastAsia="MS Mincho"/>
          <w:b/>
        </w:rPr>
        <w:t>. Results and Discussion</w:t>
      </w:r>
    </w:p>
    <w:p w14:paraId="1784A1D6" w14:textId="77777777" w:rsidR="00193D62" w:rsidRDefault="00193D62" w:rsidP="007F2DCC">
      <w:pPr>
        <w:autoSpaceDE w:val="0"/>
        <w:autoSpaceDN w:val="0"/>
        <w:adjustRightInd w:val="0"/>
        <w:jc w:val="both"/>
        <w:rPr>
          <w:rFonts w:eastAsiaTheme="minorHAnsi"/>
          <w:lang w:eastAsia="en-US"/>
        </w:rPr>
      </w:pPr>
      <w:r>
        <w:rPr>
          <w:rFonts w:eastAsiaTheme="minorHAnsi"/>
          <w:lang w:eastAsia="en-US"/>
        </w:rPr>
        <w:t>Our results are reported in Table 1 and Figure 1 as follow:</w:t>
      </w:r>
    </w:p>
    <w:p w14:paraId="56414D62" w14:textId="77777777" w:rsidR="007F2DCC" w:rsidRDefault="007F2DCC" w:rsidP="007F2DCC">
      <w:pPr>
        <w:autoSpaceDE w:val="0"/>
        <w:autoSpaceDN w:val="0"/>
        <w:adjustRightInd w:val="0"/>
        <w:jc w:val="both"/>
        <w:rPr>
          <w:rFonts w:eastAsiaTheme="minorHAnsi"/>
          <w:lang w:eastAsia="en-US"/>
        </w:rPr>
      </w:pPr>
    </w:p>
    <w:p w14:paraId="22427CC0" w14:textId="77777777" w:rsidR="00193D62" w:rsidRPr="00193D62" w:rsidRDefault="00193D62" w:rsidP="00193D62">
      <w:pPr>
        <w:pStyle w:val="CM10"/>
        <w:spacing w:after="0"/>
        <w:jc w:val="center"/>
      </w:pPr>
      <w:r w:rsidRPr="00193D62">
        <w:t xml:space="preserve">Table 1: VARX </w:t>
      </w:r>
      <w:proofErr w:type="spellStart"/>
      <w:r w:rsidRPr="00193D62">
        <w:t>Cointegrating</w:t>
      </w:r>
      <w:proofErr w:type="spellEnd"/>
      <w:r w:rsidRPr="00193D62">
        <w:t xml:space="preserve"> Test, 1996Q1-2010Q4</w:t>
      </w:r>
    </w:p>
    <w:tbl>
      <w:tblPr>
        <w:tblW w:w="0" w:type="auto"/>
        <w:jc w:val="center"/>
        <w:tblLook w:val="00A0" w:firstRow="1" w:lastRow="0" w:firstColumn="1" w:lastColumn="0" w:noHBand="0" w:noVBand="0"/>
      </w:tblPr>
      <w:tblGrid>
        <w:gridCol w:w="820"/>
        <w:gridCol w:w="797"/>
        <w:gridCol w:w="2976"/>
        <w:gridCol w:w="1470"/>
        <w:gridCol w:w="1437"/>
      </w:tblGrid>
      <w:tr w:rsidR="00193D62" w:rsidRPr="00193D62" w14:paraId="3672409F" w14:textId="77777777" w:rsidTr="006856B8">
        <w:trPr>
          <w:jc w:val="center"/>
        </w:trPr>
        <w:tc>
          <w:tcPr>
            <w:tcW w:w="820" w:type="dxa"/>
            <w:vMerge w:val="restart"/>
            <w:tcBorders>
              <w:top w:val="single" w:sz="4" w:space="0" w:color="auto"/>
            </w:tcBorders>
            <w:vAlign w:val="center"/>
          </w:tcPr>
          <w:p w14:paraId="6BB8848D" w14:textId="77777777" w:rsidR="00193D62" w:rsidRPr="00193D62" w:rsidRDefault="00193D62" w:rsidP="006856B8">
            <w:pPr>
              <w:autoSpaceDE w:val="0"/>
              <w:autoSpaceDN w:val="0"/>
              <w:adjustRightInd w:val="0"/>
              <w:jc w:val="center"/>
              <w:rPr>
                <w:i/>
                <w:vertAlign w:val="subscript"/>
              </w:rPr>
            </w:pPr>
            <w:r w:rsidRPr="00193D62">
              <w:rPr>
                <w:i/>
              </w:rPr>
              <w:t>H</w:t>
            </w:r>
            <w:r w:rsidRPr="00193D62">
              <w:rPr>
                <w:i/>
                <w:vertAlign w:val="subscript"/>
              </w:rPr>
              <w:t>0</w:t>
            </w:r>
          </w:p>
        </w:tc>
        <w:tc>
          <w:tcPr>
            <w:tcW w:w="797" w:type="dxa"/>
            <w:vMerge w:val="restart"/>
            <w:tcBorders>
              <w:top w:val="single" w:sz="4" w:space="0" w:color="auto"/>
            </w:tcBorders>
            <w:vAlign w:val="center"/>
          </w:tcPr>
          <w:p w14:paraId="20C1F4E9" w14:textId="77777777" w:rsidR="00193D62" w:rsidRPr="00193D62" w:rsidRDefault="00193D62" w:rsidP="006856B8">
            <w:pPr>
              <w:autoSpaceDE w:val="0"/>
              <w:autoSpaceDN w:val="0"/>
              <w:adjustRightInd w:val="0"/>
              <w:jc w:val="center"/>
              <w:rPr>
                <w:i/>
                <w:vertAlign w:val="subscript"/>
              </w:rPr>
            </w:pPr>
            <w:r w:rsidRPr="00193D62">
              <w:rPr>
                <w:i/>
              </w:rPr>
              <w:t>H</w:t>
            </w:r>
            <w:r w:rsidRPr="00193D62">
              <w:rPr>
                <w:i/>
                <w:vertAlign w:val="subscript"/>
              </w:rPr>
              <w:t>1</w:t>
            </w:r>
          </w:p>
        </w:tc>
        <w:tc>
          <w:tcPr>
            <w:tcW w:w="2976" w:type="dxa"/>
            <w:vMerge w:val="restart"/>
            <w:tcBorders>
              <w:top w:val="single" w:sz="4" w:space="0" w:color="auto"/>
            </w:tcBorders>
            <w:vAlign w:val="center"/>
          </w:tcPr>
          <w:p w14:paraId="4BDD4079" w14:textId="77777777" w:rsidR="00193D62" w:rsidRPr="00193D62" w:rsidRDefault="00193D62" w:rsidP="006856B8">
            <w:pPr>
              <w:autoSpaceDE w:val="0"/>
              <w:autoSpaceDN w:val="0"/>
              <w:adjustRightInd w:val="0"/>
              <w:jc w:val="center"/>
            </w:pPr>
            <w:r w:rsidRPr="00193D62">
              <w:t>Trace Statistic</w:t>
            </w:r>
          </w:p>
        </w:tc>
        <w:tc>
          <w:tcPr>
            <w:tcW w:w="2907" w:type="dxa"/>
            <w:gridSpan w:val="2"/>
            <w:tcBorders>
              <w:top w:val="single" w:sz="4" w:space="0" w:color="auto"/>
              <w:bottom w:val="single" w:sz="4" w:space="0" w:color="auto"/>
            </w:tcBorders>
            <w:vAlign w:val="center"/>
          </w:tcPr>
          <w:p w14:paraId="01FF33C8" w14:textId="77777777" w:rsidR="00193D62" w:rsidRPr="00193D62" w:rsidRDefault="00193D62" w:rsidP="006856B8">
            <w:pPr>
              <w:autoSpaceDE w:val="0"/>
              <w:autoSpaceDN w:val="0"/>
              <w:adjustRightInd w:val="0"/>
              <w:jc w:val="center"/>
            </w:pPr>
            <w:r w:rsidRPr="00193D62">
              <w:t>Bootstrapped Critical Values</w:t>
            </w:r>
          </w:p>
        </w:tc>
      </w:tr>
      <w:tr w:rsidR="00193D62" w:rsidRPr="00193D62" w14:paraId="6CA908A6" w14:textId="77777777" w:rsidTr="006856B8">
        <w:trPr>
          <w:jc w:val="center"/>
        </w:trPr>
        <w:tc>
          <w:tcPr>
            <w:tcW w:w="820" w:type="dxa"/>
            <w:vMerge/>
            <w:tcBorders>
              <w:bottom w:val="single" w:sz="4" w:space="0" w:color="auto"/>
            </w:tcBorders>
            <w:vAlign w:val="center"/>
          </w:tcPr>
          <w:p w14:paraId="5825D9BF" w14:textId="77777777" w:rsidR="00193D62" w:rsidRPr="00193D62" w:rsidRDefault="00193D62" w:rsidP="006856B8">
            <w:pPr>
              <w:autoSpaceDE w:val="0"/>
              <w:autoSpaceDN w:val="0"/>
              <w:adjustRightInd w:val="0"/>
              <w:jc w:val="center"/>
              <w:rPr>
                <w:i/>
              </w:rPr>
            </w:pPr>
          </w:p>
        </w:tc>
        <w:tc>
          <w:tcPr>
            <w:tcW w:w="797" w:type="dxa"/>
            <w:vMerge/>
            <w:tcBorders>
              <w:bottom w:val="single" w:sz="4" w:space="0" w:color="auto"/>
            </w:tcBorders>
            <w:vAlign w:val="center"/>
          </w:tcPr>
          <w:p w14:paraId="3F1F57E4" w14:textId="77777777" w:rsidR="00193D62" w:rsidRPr="00193D62" w:rsidRDefault="00193D62" w:rsidP="006856B8">
            <w:pPr>
              <w:autoSpaceDE w:val="0"/>
              <w:autoSpaceDN w:val="0"/>
              <w:adjustRightInd w:val="0"/>
              <w:jc w:val="center"/>
              <w:rPr>
                <w:i/>
              </w:rPr>
            </w:pPr>
          </w:p>
        </w:tc>
        <w:tc>
          <w:tcPr>
            <w:tcW w:w="2976" w:type="dxa"/>
            <w:vMerge/>
            <w:tcBorders>
              <w:bottom w:val="single" w:sz="4" w:space="0" w:color="auto"/>
            </w:tcBorders>
            <w:vAlign w:val="center"/>
          </w:tcPr>
          <w:p w14:paraId="307BA80F" w14:textId="77777777" w:rsidR="00193D62" w:rsidRPr="00193D62" w:rsidRDefault="00193D62" w:rsidP="006856B8">
            <w:pPr>
              <w:autoSpaceDE w:val="0"/>
              <w:autoSpaceDN w:val="0"/>
              <w:adjustRightInd w:val="0"/>
              <w:jc w:val="center"/>
            </w:pPr>
          </w:p>
        </w:tc>
        <w:tc>
          <w:tcPr>
            <w:tcW w:w="1470" w:type="dxa"/>
            <w:tcBorders>
              <w:top w:val="single" w:sz="4" w:space="0" w:color="auto"/>
              <w:bottom w:val="single" w:sz="4" w:space="0" w:color="auto"/>
            </w:tcBorders>
            <w:vAlign w:val="center"/>
          </w:tcPr>
          <w:p w14:paraId="12EB2650" w14:textId="77777777" w:rsidR="00193D62" w:rsidRPr="00193D62" w:rsidRDefault="00193D62" w:rsidP="006856B8">
            <w:pPr>
              <w:autoSpaceDE w:val="0"/>
              <w:autoSpaceDN w:val="0"/>
              <w:adjustRightInd w:val="0"/>
              <w:jc w:val="center"/>
            </w:pPr>
            <w:r w:rsidRPr="00193D62">
              <w:t>95%</w:t>
            </w:r>
          </w:p>
        </w:tc>
        <w:tc>
          <w:tcPr>
            <w:tcW w:w="1437" w:type="dxa"/>
            <w:tcBorders>
              <w:top w:val="single" w:sz="4" w:space="0" w:color="auto"/>
              <w:bottom w:val="single" w:sz="4" w:space="0" w:color="auto"/>
            </w:tcBorders>
            <w:vAlign w:val="center"/>
          </w:tcPr>
          <w:p w14:paraId="62297CE3" w14:textId="77777777" w:rsidR="00193D62" w:rsidRPr="00193D62" w:rsidRDefault="00193D62" w:rsidP="006856B8">
            <w:pPr>
              <w:autoSpaceDE w:val="0"/>
              <w:autoSpaceDN w:val="0"/>
              <w:adjustRightInd w:val="0"/>
              <w:jc w:val="center"/>
            </w:pPr>
            <w:r w:rsidRPr="00193D62">
              <w:t>90%</w:t>
            </w:r>
          </w:p>
        </w:tc>
      </w:tr>
      <w:tr w:rsidR="00193D62" w:rsidRPr="00193D62" w14:paraId="27AC1FCA" w14:textId="77777777" w:rsidTr="006856B8">
        <w:trPr>
          <w:jc w:val="center"/>
        </w:trPr>
        <w:tc>
          <w:tcPr>
            <w:tcW w:w="820" w:type="dxa"/>
            <w:vAlign w:val="center"/>
          </w:tcPr>
          <w:p w14:paraId="2BBDAFA2" w14:textId="77777777" w:rsidR="00193D62" w:rsidRPr="00193D62" w:rsidRDefault="00193D62" w:rsidP="006856B8">
            <w:pPr>
              <w:autoSpaceDE w:val="0"/>
              <w:autoSpaceDN w:val="0"/>
              <w:adjustRightInd w:val="0"/>
              <w:jc w:val="center"/>
              <w:rPr>
                <w:i/>
              </w:rPr>
            </w:pPr>
            <w:r w:rsidRPr="00193D62">
              <w:rPr>
                <w:i/>
              </w:rPr>
              <w:t>r = 0</w:t>
            </w:r>
          </w:p>
        </w:tc>
        <w:tc>
          <w:tcPr>
            <w:tcW w:w="797" w:type="dxa"/>
            <w:vAlign w:val="center"/>
          </w:tcPr>
          <w:p w14:paraId="27079FE9" w14:textId="77777777" w:rsidR="00193D62" w:rsidRPr="00193D62" w:rsidRDefault="00193D62" w:rsidP="006856B8">
            <w:pPr>
              <w:autoSpaceDE w:val="0"/>
              <w:autoSpaceDN w:val="0"/>
              <w:adjustRightInd w:val="0"/>
              <w:jc w:val="center"/>
              <w:rPr>
                <w:i/>
              </w:rPr>
            </w:pPr>
            <w:r w:rsidRPr="00193D62">
              <w:rPr>
                <w:i/>
              </w:rPr>
              <w:t xml:space="preserve">r </w:t>
            </w:r>
            <w:r w:rsidRPr="00193D62">
              <w:rPr>
                <w:i/>
              </w:rPr>
              <w:sym w:font="Symbol" w:char="F0B3"/>
            </w:r>
            <w:r w:rsidRPr="00193D62">
              <w:rPr>
                <w:i/>
              </w:rPr>
              <w:t xml:space="preserve"> 1</w:t>
            </w:r>
          </w:p>
        </w:tc>
        <w:tc>
          <w:tcPr>
            <w:tcW w:w="2976" w:type="dxa"/>
            <w:vAlign w:val="center"/>
          </w:tcPr>
          <w:p w14:paraId="6A8E811D" w14:textId="77777777" w:rsidR="00193D62" w:rsidRPr="00193D62" w:rsidRDefault="00193D62" w:rsidP="006856B8">
            <w:pPr>
              <w:jc w:val="center"/>
            </w:pPr>
            <w:r w:rsidRPr="00193D62">
              <w:rPr>
                <w:color w:val="000000"/>
              </w:rPr>
              <w:t>96.8556**</w:t>
            </w:r>
          </w:p>
        </w:tc>
        <w:tc>
          <w:tcPr>
            <w:tcW w:w="1470" w:type="dxa"/>
            <w:vAlign w:val="center"/>
          </w:tcPr>
          <w:p w14:paraId="77FC1CB5" w14:textId="77777777" w:rsidR="00193D62" w:rsidRPr="00193D62" w:rsidRDefault="00193D62" w:rsidP="006856B8">
            <w:pPr>
              <w:jc w:val="center"/>
            </w:pPr>
            <w:r w:rsidRPr="00193D62">
              <w:rPr>
                <w:color w:val="000000"/>
              </w:rPr>
              <w:t>74.2452</w:t>
            </w:r>
          </w:p>
        </w:tc>
        <w:tc>
          <w:tcPr>
            <w:tcW w:w="1437" w:type="dxa"/>
            <w:vAlign w:val="center"/>
          </w:tcPr>
          <w:p w14:paraId="1DE65087" w14:textId="77777777" w:rsidR="00193D62" w:rsidRPr="00193D62" w:rsidRDefault="00193D62" w:rsidP="006856B8">
            <w:pPr>
              <w:jc w:val="center"/>
            </w:pPr>
            <w:r w:rsidRPr="00193D62">
              <w:rPr>
                <w:color w:val="000000"/>
              </w:rPr>
              <w:t>70.4917</w:t>
            </w:r>
          </w:p>
        </w:tc>
      </w:tr>
      <w:tr w:rsidR="00193D62" w:rsidRPr="00193D62" w14:paraId="798137CF" w14:textId="77777777" w:rsidTr="006856B8">
        <w:trPr>
          <w:jc w:val="center"/>
        </w:trPr>
        <w:tc>
          <w:tcPr>
            <w:tcW w:w="820" w:type="dxa"/>
            <w:vAlign w:val="center"/>
          </w:tcPr>
          <w:p w14:paraId="114C4C92" w14:textId="77777777" w:rsidR="00193D62" w:rsidRPr="00193D62" w:rsidRDefault="00193D62" w:rsidP="006856B8">
            <w:pPr>
              <w:autoSpaceDE w:val="0"/>
              <w:autoSpaceDN w:val="0"/>
              <w:adjustRightInd w:val="0"/>
              <w:jc w:val="center"/>
              <w:rPr>
                <w:i/>
              </w:rPr>
            </w:pPr>
            <w:r w:rsidRPr="00193D62">
              <w:rPr>
                <w:i/>
              </w:rPr>
              <w:t>r ≤ 1</w:t>
            </w:r>
          </w:p>
        </w:tc>
        <w:tc>
          <w:tcPr>
            <w:tcW w:w="797" w:type="dxa"/>
            <w:vAlign w:val="center"/>
          </w:tcPr>
          <w:p w14:paraId="37223BC1" w14:textId="77777777" w:rsidR="00193D62" w:rsidRPr="00193D62" w:rsidRDefault="00193D62" w:rsidP="006856B8">
            <w:pPr>
              <w:autoSpaceDE w:val="0"/>
              <w:autoSpaceDN w:val="0"/>
              <w:adjustRightInd w:val="0"/>
              <w:jc w:val="center"/>
              <w:rPr>
                <w:i/>
              </w:rPr>
            </w:pPr>
            <w:r w:rsidRPr="00193D62">
              <w:rPr>
                <w:i/>
              </w:rPr>
              <w:t xml:space="preserve">r </w:t>
            </w:r>
            <w:r w:rsidRPr="00193D62">
              <w:rPr>
                <w:i/>
              </w:rPr>
              <w:sym w:font="Symbol" w:char="F0B3"/>
            </w:r>
            <w:r w:rsidRPr="00193D62">
              <w:rPr>
                <w:i/>
              </w:rPr>
              <w:t xml:space="preserve"> 2</w:t>
            </w:r>
          </w:p>
        </w:tc>
        <w:tc>
          <w:tcPr>
            <w:tcW w:w="2976" w:type="dxa"/>
            <w:vAlign w:val="center"/>
          </w:tcPr>
          <w:p w14:paraId="375B363A" w14:textId="77777777" w:rsidR="00193D62" w:rsidRPr="00193D62" w:rsidRDefault="00193D62" w:rsidP="006856B8">
            <w:pPr>
              <w:autoSpaceDE w:val="0"/>
              <w:autoSpaceDN w:val="0"/>
              <w:adjustRightInd w:val="0"/>
              <w:ind w:left="1005" w:right="1005"/>
              <w:jc w:val="center"/>
              <w:rPr>
                <w:color w:val="000000"/>
              </w:rPr>
            </w:pPr>
            <w:r w:rsidRPr="00193D62">
              <w:rPr>
                <w:color w:val="000000"/>
              </w:rPr>
              <w:t>44.7480*</w:t>
            </w:r>
          </w:p>
        </w:tc>
        <w:tc>
          <w:tcPr>
            <w:tcW w:w="1470" w:type="dxa"/>
            <w:vAlign w:val="center"/>
          </w:tcPr>
          <w:p w14:paraId="413C241D" w14:textId="77777777" w:rsidR="00193D62" w:rsidRPr="00193D62" w:rsidRDefault="00193D62" w:rsidP="006856B8">
            <w:pPr>
              <w:autoSpaceDE w:val="0"/>
              <w:autoSpaceDN w:val="0"/>
              <w:adjustRightInd w:val="0"/>
              <w:jc w:val="center"/>
            </w:pPr>
            <w:r w:rsidRPr="00193D62">
              <w:rPr>
                <w:color w:val="000000"/>
              </w:rPr>
              <w:t>46.7084</w:t>
            </w:r>
          </w:p>
        </w:tc>
        <w:tc>
          <w:tcPr>
            <w:tcW w:w="1437" w:type="dxa"/>
            <w:vAlign w:val="center"/>
          </w:tcPr>
          <w:p w14:paraId="3B424C98" w14:textId="77777777" w:rsidR="00193D62" w:rsidRPr="00193D62" w:rsidRDefault="00193D62" w:rsidP="006856B8">
            <w:pPr>
              <w:autoSpaceDE w:val="0"/>
              <w:autoSpaceDN w:val="0"/>
              <w:adjustRightInd w:val="0"/>
              <w:jc w:val="center"/>
            </w:pPr>
            <w:r w:rsidRPr="00193D62">
              <w:rPr>
                <w:color w:val="000000"/>
              </w:rPr>
              <w:t>42.1938</w:t>
            </w:r>
          </w:p>
        </w:tc>
      </w:tr>
      <w:tr w:rsidR="00193D62" w:rsidRPr="00193D62" w14:paraId="345A9E55" w14:textId="77777777" w:rsidTr="006856B8">
        <w:trPr>
          <w:jc w:val="center"/>
        </w:trPr>
        <w:tc>
          <w:tcPr>
            <w:tcW w:w="820" w:type="dxa"/>
            <w:tcBorders>
              <w:top w:val="single" w:sz="4" w:space="0" w:color="auto"/>
              <w:bottom w:val="single" w:sz="4" w:space="0" w:color="auto"/>
            </w:tcBorders>
            <w:vAlign w:val="center"/>
          </w:tcPr>
          <w:p w14:paraId="6D47032C" w14:textId="77777777" w:rsidR="00193D62" w:rsidRPr="00193D62" w:rsidRDefault="00193D62" w:rsidP="006856B8">
            <w:pPr>
              <w:jc w:val="center"/>
              <w:rPr>
                <w:i/>
              </w:rPr>
            </w:pPr>
            <w:r w:rsidRPr="00193D62">
              <w:rPr>
                <w:i/>
              </w:rPr>
              <w:t>lag</w:t>
            </w:r>
          </w:p>
        </w:tc>
        <w:tc>
          <w:tcPr>
            <w:tcW w:w="797" w:type="dxa"/>
            <w:tcBorders>
              <w:top w:val="single" w:sz="4" w:space="0" w:color="auto"/>
              <w:bottom w:val="single" w:sz="4" w:space="0" w:color="auto"/>
            </w:tcBorders>
            <w:vAlign w:val="center"/>
          </w:tcPr>
          <w:p w14:paraId="58519C4E" w14:textId="77777777" w:rsidR="00193D62" w:rsidRPr="00193D62" w:rsidRDefault="00193D62" w:rsidP="006856B8">
            <w:pPr>
              <w:autoSpaceDE w:val="0"/>
              <w:autoSpaceDN w:val="0"/>
              <w:adjustRightInd w:val="0"/>
              <w:jc w:val="center"/>
              <w:rPr>
                <w:i/>
              </w:rPr>
            </w:pPr>
            <w:r w:rsidRPr="00193D62">
              <w:rPr>
                <w:i/>
              </w:rPr>
              <w:t>(1, 1)</w:t>
            </w:r>
          </w:p>
        </w:tc>
        <w:tc>
          <w:tcPr>
            <w:tcW w:w="2976" w:type="dxa"/>
            <w:tcBorders>
              <w:top w:val="single" w:sz="4" w:space="0" w:color="auto"/>
              <w:bottom w:val="single" w:sz="4" w:space="0" w:color="auto"/>
            </w:tcBorders>
            <w:vAlign w:val="center"/>
          </w:tcPr>
          <w:p w14:paraId="4DE636C6" w14:textId="77777777" w:rsidR="00193D62" w:rsidRPr="00193D62" w:rsidRDefault="00193D62" w:rsidP="006856B8">
            <w:pPr>
              <w:autoSpaceDE w:val="0"/>
              <w:autoSpaceDN w:val="0"/>
              <w:adjustRightInd w:val="0"/>
              <w:jc w:val="center"/>
            </w:pPr>
            <w:r w:rsidRPr="00193D62">
              <w:t xml:space="preserve">SBC = </w:t>
            </w:r>
            <w:r w:rsidRPr="00193D62">
              <w:rPr>
                <w:color w:val="000000"/>
              </w:rPr>
              <w:t>910.8761</w:t>
            </w:r>
          </w:p>
        </w:tc>
        <w:tc>
          <w:tcPr>
            <w:tcW w:w="2907" w:type="dxa"/>
            <w:gridSpan w:val="2"/>
            <w:tcBorders>
              <w:top w:val="single" w:sz="4" w:space="0" w:color="auto"/>
              <w:bottom w:val="single" w:sz="4" w:space="0" w:color="auto"/>
            </w:tcBorders>
            <w:vAlign w:val="center"/>
          </w:tcPr>
          <w:p w14:paraId="13D02CFD" w14:textId="77777777" w:rsidR="00193D62" w:rsidRPr="00193D62" w:rsidRDefault="00193D62" w:rsidP="006856B8">
            <w:pPr>
              <w:autoSpaceDE w:val="0"/>
              <w:autoSpaceDN w:val="0"/>
              <w:adjustRightInd w:val="0"/>
              <w:jc w:val="center"/>
              <w:rPr>
                <w:color w:val="000000"/>
              </w:rPr>
            </w:pPr>
            <w:proofErr w:type="spellStart"/>
            <w:r w:rsidRPr="00193D62">
              <w:t>Adj</w:t>
            </w:r>
            <w:proofErr w:type="spellEnd"/>
            <w:r w:rsidRPr="00193D62">
              <w:t xml:space="preserve"> LR test = </w:t>
            </w:r>
            <w:r w:rsidRPr="00193D62">
              <w:rPr>
                <w:color w:val="000000"/>
              </w:rPr>
              <w:t>190.7867[0.277]</w:t>
            </w:r>
          </w:p>
        </w:tc>
      </w:tr>
    </w:tbl>
    <w:p w14:paraId="1378F41B" w14:textId="77777777" w:rsidR="00193D62" w:rsidRPr="00193D62" w:rsidRDefault="00193D62" w:rsidP="00193D62">
      <w:pPr>
        <w:autoSpaceDE w:val="0"/>
        <w:autoSpaceDN w:val="0"/>
        <w:adjustRightInd w:val="0"/>
        <w:ind w:left="720" w:right="720"/>
        <w:jc w:val="both"/>
      </w:pPr>
      <w:r w:rsidRPr="00193D62">
        <w:t xml:space="preserve">Notes: ** and * denote significant at 95% and 90% confidence level respectively. </w:t>
      </w:r>
    </w:p>
    <w:p w14:paraId="22395F64" w14:textId="77777777" w:rsidR="00193D62" w:rsidRPr="00193D62" w:rsidRDefault="00193D62" w:rsidP="00193D62">
      <w:pPr>
        <w:jc w:val="center"/>
      </w:pPr>
    </w:p>
    <w:p w14:paraId="0E0D3FEB" w14:textId="77777777" w:rsidR="00193D62" w:rsidRDefault="00193D62" w:rsidP="00193D62">
      <w:pPr>
        <w:jc w:val="center"/>
      </w:pPr>
    </w:p>
    <w:p w14:paraId="2D59E3E1" w14:textId="77777777" w:rsidR="00193D62" w:rsidRPr="00193D62" w:rsidRDefault="00193D62" w:rsidP="00193D62">
      <w:pPr>
        <w:jc w:val="center"/>
      </w:pPr>
      <w:r w:rsidRPr="00193D62">
        <w:t>Figure 1: Persistent Profile of CV1 (PPP) and CV2 (IRP) to System-Wide Shocks</w:t>
      </w:r>
    </w:p>
    <w:p w14:paraId="6C87E97B" w14:textId="77777777" w:rsidR="00193D62" w:rsidRPr="00193D62" w:rsidRDefault="00193D62" w:rsidP="00193D62">
      <w:pPr>
        <w:pBdr>
          <w:top w:val="single" w:sz="4" w:space="1" w:color="auto"/>
          <w:left w:val="single" w:sz="4" w:space="4" w:color="auto"/>
          <w:bottom w:val="single" w:sz="4" w:space="1" w:color="auto"/>
          <w:right w:val="single" w:sz="4" w:space="4" w:color="auto"/>
        </w:pBdr>
        <w:jc w:val="center"/>
      </w:pPr>
      <w:r>
        <w:rPr>
          <w:noProof/>
          <w:lang w:val="en-MY" w:eastAsia="en-MY"/>
        </w:rPr>
        <w:drawing>
          <wp:inline distT="0" distB="0" distL="0" distR="0" wp14:anchorId="494A97AF" wp14:editId="4DAA026B">
            <wp:extent cx="2743200" cy="169037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cstate="print"/>
                    <a:srcRect/>
                    <a:stretch>
                      <a:fillRect/>
                    </a:stretch>
                  </pic:blipFill>
                  <pic:spPr bwMode="auto">
                    <a:xfrm>
                      <a:off x="0" y="0"/>
                      <a:ext cx="2743200" cy="1690370"/>
                    </a:xfrm>
                    <a:prstGeom prst="rect">
                      <a:avLst/>
                    </a:prstGeom>
                    <a:noFill/>
                    <a:ln w="9525">
                      <a:noFill/>
                      <a:miter lim="800000"/>
                      <a:headEnd/>
                      <a:tailEnd/>
                    </a:ln>
                  </pic:spPr>
                </pic:pic>
              </a:graphicData>
            </a:graphic>
          </wp:inline>
        </w:drawing>
      </w:r>
      <w:r>
        <w:rPr>
          <w:noProof/>
          <w:lang w:val="en-MY" w:eastAsia="en-MY"/>
        </w:rPr>
        <w:drawing>
          <wp:inline distT="0" distB="0" distL="0" distR="0" wp14:anchorId="0E2BA7A7" wp14:editId="3BCB70E8">
            <wp:extent cx="2732405" cy="172275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7" cstate="print"/>
                    <a:srcRect/>
                    <a:stretch>
                      <a:fillRect/>
                    </a:stretch>
                  </pic:blipFill>
                  <pic:spPr bwMode="auto">
                    <a:xfrm>
                      <a:off x="0" y="0"/>
                      <a:ext cx="2732405" cy="1722755"/>
                    </a:xfrm>
                    <a:prstGeom prst="rect">
                      <a:avLst/>
                    </a:prstGeom>
                    <a:noFill/>
                    <a:ln w="9525">
                      <a:noFill/>
                      <a:miter lim="800000"/>
                      <a:headEnd/>
                      <a:tailEnd/>
                    </a:ln>
                  </pic:spPr>
                </pic:pic>
              </a:graphicData>
            </a:graphic>
          </wp:inline>
        </w:drawing>
      </w:r>
    </w:p>
    <w:p w14:paraId="3514FD1C" w14:textId="77777777" w:rsidR="00193D62" w:rsidRPr="00193D62" w:rsidRDefault="00193D62" w:rsidP="00193D62">
      <w:pPr>
        <w:jc w:val="center"/>
      </w:pPr>
      <w:r w:rsidRPr="00193D62">
        <w:t>Note: The dot-lines represent the top 97.5% and low 2.5% bootstrapped confidence intervals respectively.</w:t>
      </w:r>
    </w:p>
    <w:p w14:paraId="013EE488" w14:textId="77777777" w:rsidR="00193D62" w:rsidRPr="00193D62" w:rsidRDefault="00193D62" w:rsidP="00193D62">
      <w:pPr>
        <w:jc w:val="center"/>
      </w:pPr>
    </w:p>
    <w:p w14:paraId="64D1E236" w14:textId="0F272E36" w:rsidR="00193D62" w:rsidRPr="00193D62" w:rsidRDefault="00F175E2" w:rsidP="00193D62">
      <w:pPr>
        <w:autoSpaceDE w:val="0"/>
        <w:autoSpaceDN w:val="0"/>
        <w:adjustRightInd w:val="0"/>
        <w:jc w:val="both"/>
        <w:rPr>
          <w:rFonts w:eastAsia="MS Mincho"/>
          <w:b/>
        </w:rPr>
      </w:pPr>
      <w:r>
        <w:rPr>
          <w:rFonts w:eastAsia="MS Mincho"/>
          <w:b/>
        </w:rPr>
        <w:t>5</w:t>
      </w:r>
      <w:r w:rsidR="00193D62" w:rsidRPr="00193D62">
        <w:rPr>
          <w:rFonts w:eastAsia="MS Mincho"/>
          <w:b/>
        </w:rPr>
        <w:t>.</w:t>
      </w:r>
      <w:r w:rsidR="00193D62">
        <w:rPr>
          <w:rFonts w:eastAsia="MS Mincho"/>
          <w:b/>
        </w:rPr>
        <w:t xml:space="preserve"> Conclusion</w:t>
      </w:r>
    </w:p>
    <w:p w14:paraId="62E02348" w14:textId="77777777" w:rsidR="00DA559C" w:rsidRPr="00FF3FCC" w:rsidRDefault="00FF3FCC" w:rsidP="00F20AFB">
      <w:pPr>
        <w:jc w:val="both"/>
      </w:pPr>
      <w:r w:rsidRPr="00FF3FCC">
        <w:rPr>
          <w:rFonts w:eastAsia="MS Mincho"/>
          <w:lang w:val="en-GB"/>
        </w:rPr>
        <w:t xml:space="preserve">This study constructs a structural system that allow for possible interactions between the PPP and IRP so that the transmission mechanism among </w:t>
      </w:r>
      <w:r w:rsidRPr="00FF3FCC">
        <w:rPr>
          <w:rFonts w:eastAsia="Times New Roman"/>
          <w:lang w:val="en-GB"/>
        </w:rPr>
        <w:t>interest rates, prices, and exchange rates</w:t>
      </w:r>
      <w:r w:rsidRPr="00FF3FCC">
        <w:rPr>
          <w:rFonts w:eastAsia="MS Mincho"/>
          <w:lang w:val="en-GB"/>
        </w:rPr>
        <w:t xml:space="preserve"> can be better understood.</w:t>
      </w:r>
      <w:r w:rsidRPr="00FF3FCC">
        <w:rPr>
          <w:rFonts w:eastAsia="Times New Roman"/>
          <w:lang w:val="en-GB"/>
        </w:rPr>
        <w:t xml:space="preserve"> </w:t>
      </w:r>
      <w:r w:rsidRPr="00FF3FCC">
        <w:rPr>
          <w:rFonts w:eastAsia="PMingLiU"/>
          <w:lang w:val="en-GB"/>
        </w:rPr>
        <w:t>The empirical framework was</w:t>
      </w:r>
      <w:r>
        <w:rPr>
          <w:rFonts w:eastAsia="PMingLiU"/>
          <w:lang w:val="en-GB"/>
        </w:rPr>
        <w:t>…</w:t>
      </w:r>
    </w:p>
    <w:p w14:paraId="4BB67B84" w14:textId="77777777" w:rsidR="0059592E" w:rsidRDefault="0059592E" w:rsidP="000E3335">
      <w:pPr>
        <w:autoSpaceDE w:val="0"/>
        <w:autoSpaceDN w:val="0"/>
        <w:adjustRightInd w:val="0"/>
        <w:ind w:left="540" w:hanging="540"/>
        <w:jc w:val="both"/>
        <w:rPr>
          <w:b/>
        </w:rPr>
      </w:pPr>
    </w:p>
    <w:p w14:paraId="32AD422F" w14:textId="77777777" w:rsidR="000E3335" w:rsidRPr="00193D62" w:rsidRDefault="000E3335" w:rsidP="000E3335">
      <w:pPr>
        <w:autoSpaceDE w:val="0"/>
        <w:autoSpaceDN w:val="0"/>
        <w:adjustRightInd w:val="0"/>
        <w:ind w:left="540" w:hanging="540"/>
        <w:jc w:val="both"/>
        <w:rPr>
          <w:b/>
        </w:rPr>
      </w:pPr>
      <w:r w:rsidRPr="00193D62">
        <w:rPr>
          <w:b/>
        </w:rPr>
        <w:t>Reference</w:t>
      </w:r>
    </w:p>
    <w:p w14:paraId="3BD0C6A3" w14:textId="77777777" w:rsidR="000E3335" w:rsidRPr="00193D62" w:rsidRDefault="000E3335" w:rsidP="00193D62">
      <w:pPr>
        <w:ind w:left="360" w:hanging="360"/>
        <w:jc w:val="both"/>
      </w:pPr>
      <w:proofErr w:type="spellStart"/>
      <w:proofErr w:type="gramStart"/>
      <w:r w:rsidRPr="00193D62">
        <w:rPr>
          <w:snapToGrid w:val="0"/>
        </w:rPr>
        <w:t>Baharumshah</w:t>
      </w:r>
      <w:proofErr w:type="spellEnd"/>
      <w:r w:rsidRPr="00193D62">
        <w:rPr>
          <w:snapToGrid w:val="0"/>
        </w:rPr>
        <w:t>, A.Z., Chan, T.-H.</w:t>
      </w:r>
      <w:proofErr w:type="gramEnd"/>
      <w:r w:rsidRPr="00193D62">
        <w:rPr>
          <w:snapToGrid w:val="0"/>
        </w:rPr>
        <w:t xml:space="preserve"> </w:t>
      </w:r>
      <w:proofErr w:type="gramStart"/>
      <w:r w:rsidRPr="00193D62">
        <w:rPr>
          <w:snapToGrid w:val="0"/>
        </w:rPr>
        <w:t>and</w:t>
      </w:r>
      <w:proofErr w:type="gramEnd"/>
      <w:r w:rsidRPr="00193D62">
        <w:rPr>
          <w:snapToGrid w:val="0"/>
        </w:rPr>
        <w:t xml:space="preserve"> </w:t>
      </w:r>
      <w:proofErr w:type="spellStart"/>
      <w:r w:rsidRPr="00193D62">
        <w:rPr>
          <w:snapToGrid w:val="0"/>
        </w:rPr>
        <w:t>Fountas</w:t>
      </w:r>
      <w:proofErr w:type="spellEnd"/>
      <w:r w:rsidRPr="00193D62">
        <w:rPr>
          <w:snapToGrid w:val="0"/>
        </w:rPr>
        <w:t xml:space="preserve">, S. (2005) </w:t>
      </w:r>
      <w:r w:rsidRPr="00193D62">
        <w:t xml:space="preserve">A </w:t>
      </w:r>
      <w:r w:rsidR="0059592E">
        <w:t>p</w:t>
      </w:r>
      <w:r w:rsidRPr="00193D62">
        <w:t xml:space="preserve">anel </w:t>
      </w:r>
      <w:r w:rsidR="0059592E">
        <w:t>s</w:t>
      </w:r>
      <w:r w:rsidRPr="00193D62">
        <w:t xml:space="preserve">tudy on </w:t>
      </w:r>
      <w:r w:rsidR="0059592E">
        <w:t>r</w:t>
      </w:r>
      <w:r w:rsidRPr="00193D62">
        <w:t xml:space="preserve">eal </w:t>
      </w:r>
      <w:r w:rsidR="0059592E">
        <w:t>i</w:t>
      </w:r>
      <w:r w:rsidRPr="00193D62">
        <w:t xml:space="preserve">nterest </w:t>
      </w:r>
      <w:r w:rsidR="0059592E">
        <w:t>r</w:t>
      </w:r>
      <w:r w:rsidRPr="00193D62">
        <w:t xml:space="preserve">ate </w:t>
      </w:r>
      <w:r w:rsidR="0059592E">
        <w:t>p</w:t>
      </w:r>
      <w:r w:rsidRPr="00193D62">
        <w:t xml:space="preserve">arity in East Asian </w:t>
      </w:r>
      <w:r w:rsidR="0059592E">
        <w:t>c</w:t>
      </w:r>
      <w:r w:rsidRPr="00193D62">
        <w:t xml:space="preserve">ountries: Pre- and </w:t>
      </w:r>
      <w:r w:rsidR="0059592E">
        <w:t>p</w:t>
      </w:r>
      <w:r w:rsidRPr="00193D62">
        <w:t xml:space="preserve">ost-liberalization </w:t>
      </w:r>
      <w:r w:rsidR="0059592E">
        <w:t>e</w:t>
      </w:r>
      <w:r w:rsidRPr="00193D62">
        <w:t xml:space="preserve">ra. </w:t>
      </w:r>
      <w:r w:rsidRPr="00193D62">
        <w:rPr>
          <w:bCs/>
          <w:i/>
        </w:rPr>
        <w:t>Global Finance Journal</w:t>
      </w:r>
      <w:r w:rsidRPr="00193D62">
        <w:t>, 16</w:t>
      </w:r>
      <w:r w:rsidR="0059592E">
        <w:t>(2)</w:t>
      </w:r>
      <w:r w:rsidRPr="00193D62">
        <w:t>, 69-85</w:t>
      </w:r>
      <w:r w:rsidR="0059592E">
        <w:t>.</w:t>
      </w:r>
    </w:p>
    <w:p w14:paraId="53613295" w14:textId="77777777" w:rsidR="000E3335" w:rsidRPr="00193D62" w:rsidRDefault="000E3335" w:rsidP="00193D62">
      <w:pPr>
        <w:autoSpaceDE w:val="0"/>
        <w:autoSpaceDN w:val="0"/>
        <w:adjustRightInd w:val="0"/>
        <w:ind w:left="360" w:hanging="360"/>
        <w:jc w:val="both"/>
      </w:pPr>
      <w:r w:rsidRPr="00193D62">
        <w:t xml:space="preserve">Chan, T. H. (2008). </w:t>
      </w:r>
      <w:proofErr w:type="gramStart"/>
      <w:r w:rsidRPr="00193D62">
        <w:rPr>
          <w:bCs/>
          <w:i/>
        </w:rPr>
        <w:t>International Parities among China and Her Major Trading Partners in Asia Pacific</w:t>
      </w:r>
      <w:r w:rsidRPr="00193D62">
        <w:t>.</w:t>
      </w:r>
      <w:proofErr w:type="gramEnd"/>
      <w:r w:rsidRPr="00193D62">
        <w:t xml:space="preserve"> MPRA Paper 15504, University Library of Munich, Germany.</w:t>
      </w:r>
    </w:p>
    <w:p w14:paraId="52DE5006" w14:textId="77777777" w:rsidR="00113B50" w:rsidRPr="00193D62" w:rsidRDefault="00113B50" w:rsidP="00193D62">
      <w:pPr>
        <w:ind w:left="360" w:hanging="360"/>
        <w:jc w:val="both"/>
        <w:rPr>
          <w:rFonts w:eastAsiaTheme="minorHAnsi"/>
        </w:rPr>
      </w:pPr>
      <w:r w:rsidRPr="00193D62">
        <w:rPr>
          <w:rFonts w:eastAsiaTheme="minorHAnsi"/>
        </w:rPr>
        <w:t xml:space="preserve">Garratt, A., K. Lee, M. H. </w:t>
      </w:r>
      <w:proofErr w:type="spellStart"/>
      <w:r w:rsidRPr="00193D62">
        <w:rPr>
          <w:rFonts w:eastAsiaTheme="minorHAnsi"/>
        </w:rPr>
        <w:t>Pesaran</w:t>
      </w:r>
      <w:proofErr w:type="spellEnd"/>
      <w:r w:rsidRPr="00193D62">
        <w:rPr>
          <w:rFonts w:eastAsiaTheme="minorHAnsi"/>
        </w:rPr>
        <w:t xml:space="preserve"> and Y. Shin (2006) </w:t>
      </w:r>
      <w:r w:rsidRPr="0059592E">
        <w:rPr>
          <w:rFonts w:eastAsiaTheme="minorHAnsi"/>
          <w:i/>
        </w:rPr>
        <w:t xml:space="preserve">Global and </w:t>
      </w:r>
      <w:r w:rsidR="0059592E" w:rsidRPr="0059592E">
        <w:rPr>
          <w:rFonts w:eastAsiaTheme="minorHAnsi"/>
          <w:i/>
        </w:rPr>
        <w:t>n</w:t>
      </w:r>
      <w:r w:rsidRPr="0059592E">
        <w:rPr>
          <w:rFonts w:eastAsiaTheme="minorHAnsi"/>
          <w:i/>
        </w:rPr>
        <w:t xml:space="preserve">ational </w:t>
      </w:r>
      <w:proofErr w:type="spellStart"/>
      <w:r w:rsidR="0059592E" w:rsidRPr="0059592E">
        <w:rPr>
          <w:rFonts w:eastAsiaTheme="minorHAnsi"/>
          <w:i/>
        </w:rPr>
        <w:t>m</w:t>
      </w:r>
      <w:r w:rsidRPr="0059592E">
        <w:rPr>
          <w:rFonts w:eastAsiaTheme="minorHAnsi"/>
          <w:i/>
        </w:rPr>
        <w:t>acroeconometric</w:t>
      </w:r>
      <w:proofErr w:type="spellEnd"/>
      <w:r w:rsidRPr="0059592E">
        <w:rPr>
          <w:rFonts w:eastAsiaTheme="minorHAnsi"/>
          <w:i/>
        </w:rPr>
        <w:t xml:space="preserve"> </w:t>
      </w:r>
      <w:proofErr w:type="spellStart"/>
      <w:r w:rsidR="0059592E" w:rsidRPr="0059592E">
        <w:rPr>
          <w:rFonts w:eastAsiaTheme="minorHAnsi"/>
          <w:i/>
        </w:rPr>
        <w:t>m</w:t>
      </w:r>
      <w:r w:rsidRPr="0059592E">
        <w:rPr>
          <w:rFonts w:eastAsiaTheme="minorHAnsi"/>
          <w:i/>
        </w:rPr>
        <w:t>odelling</w:t>
      </w:r>
      <w:proofErr w:type="spellEnd"/>
      <w:r w:rsidRPr="0059592E">
        <w:rPr>
          <w:rFonts w:eastAsiaTheme="minorHAnsi"/>
          <w:i/>
        </w:rPr>
        <w:t xml:space="preserve">: A </w:t>
      </w:r>
      <w:r w:rsidR="0059592E" w:rsidRPr="0059592E">
        <w:rPr>
          <w:rFonts w:eastAsiaTheme="minorHAnsi"/>
          <w:i/>
        </w:rPr>
        <w:t>l</w:t>
      </w:r>
      <w:r w:rsidRPr="0059592E">
        <w:rPr>
          <w:rFonts w:eastAsiaTheme="minorHAnsi"/>
          <w:i/>
        </w:rPr>
        <w:t xml:space="preserve">ong </w:t>
      </w:r>
      <w:r w:rsidR="0059592E" w:rsidRPr="0059592E">
        <w:rPr>
          <w:rFonts w:eastAsiaTheme="minorHAnsi"/>
          <w:i/>
        </w:rPr>
        <w:t>r</w:t>
      </w:r>
      <w:r w:rsidRPr="0059592E">
        <w:rPr>
          <w:rFonts w:eastAsiaTheme="minorHAnsi"/>
          <w:i/>
        </w:rPr>
        <w:t xml:space="preserve">un </w:t>
      </w:r>
      <w:r w:rsidR="0059592E" w:rsidRPr="0059592E">
        <w:rPr>
          <w:rFonts w:eastAsiaTheme="minorHAnsi"/>
          <w:i/>
        </w:rPr>
        <w:t>s</w:t>
      </w:r>
      <w:r w:rsidRPr="0059592E">
        <w:rPr>
          <w:rFonts w:eastAsiaTheme="minorHAnsi"/>
          <w:i/>
        </w:rPr>
        <w:t xml:space="preserve">tructural </w:t>
      </w:r>
      <w:r w:rsidR="0059592E" w:rsidRPr="0059592E">
        <w:rPr>
          <w:rFonts w:eastAsiaTheme="minorHAnsi"/>
          <w:i/>
        </w:rPr>
        <w:t>a</w:t>
      </w:r>
      <w:r w:rsidRPr="0059592E">
        <w:rPr>
          <w:rFonts w:eastAsiaTheme="minorHAnsi"/>
          <w:i/>
        </w:rPr>
        <w:t>pproach</w:t>
      </w:r>
      <w:r w:rsidR="0059592E">
        <w:rPr>
          <w:rFonts w:eastAsiaTheme="minorHAnsi"/>
        </w:rPr>
        <w:t>.</w:t>
      </w:r>
      <w:r w:rsidRPr="00193D62">
        <w:rPr>
          <w:rFonts w:eastAsiaTheme="minorHAnsi"/>
        </w:rPr>
        <w:t xml:space="preserve"> </w:t>
      </w:r>
      <w:r w:rsidR="0059592E" w:rsidRPr="00193D62">
        <w:rPr>
          <w:rFonts w:eastAsiaTheme="minorHAnsi"/>
        </w:rPr>
        <w:t>Oxford</w:t>
      </w:r>
      <w:r w:rsidR="0059592E">
        <w:rPr>
          <w:rFonts w:eastAsiaTheme="minorHAnsi"/>
        </w:rPr>
        <w:t>:</w:t>
      </w:r>
      <w:r w:rsidR="0059592E" w:rsidRPr="00193D62">
        <w:rPr>
          <w:rFonts w:eastAsiaTheme="minorHAnsi"/>
        </w:rPr>
        <w:t xml:space="preserve"> </w:t>
      </w:r>
      <w:r w:rsidRPr="00193D62">
        <w:rPr>
          <w:rFonts w:eastAsiaTheme="minorHAnsi"/>
        </w:rPr>
        <w:t>Oxford University Press.</w:t>
      </w:r>
    </w:p>
    <w:p w14:paraId="35B0E47A" w14:textId="77777777" w:rsidR="00DA559C" w:rsidRPr="00193D62" w:rsidRDefault="000E3335" w:rsidP="00FF3FCC">
      <w:pPr>
        <w:pStyle w:val="BodyText"/>
        <w:spacing w:line="240" w:lineRule="auto"/>
        <w:ind w:left="360" w:hanging="360"/>
        <w:rPr>
          <w:rFonts w:eastAsia="PMingLiU"/>
        </w:rPr>
      </w:pPr>
      <w:r w:rsidRPr="00193D62">
        <w:rPr>
          <w:sz w:val="20"/>
        </w:rPr>
        <w:t xml:space="preserve">The Economist (various issues) </w:t>
      </w:r>
      <w:r w:rsidRPr="0059592E">
        <w:rPr>
          <w:i/>
          <w:sz w:val="20"/>
        </w:rPr>
        <w:t>Big Mac index</w:t>
      </w:r>
      <w:r w:rsidRPr="00193D62">
        <w:rPr>
          <w:sz w:val="20"/>
        </w:rPr>
        <w:t>,</w:t>
      </w:r>
      <w:r w:rsidR="0059592E">
        <w:rPr>
          <w:sz w:val="20"/>
        </w:rPr>
        <w:t xml:space="preserve"> Retrieved from</w:t>
      </w:r>
      <w:r w:rsidRPr="00193D62">
        <w:rPr>
          <w:sz w:val="20"/>
        </w:rPr>
        <w:t xml:space="preserve"> </w:t>
      </w:r>
      <w:hyperlink r:id="rId28" w:history="1">
        <w:r w:rsidRPr="00193D62">
          <w:rPr>
            <w:rStyle w:val="Hyperlink"/>
            <w:sz w:val="20"/>
          </w:rPr>
          <w:t>http://www.economist.com/node/17257797</w:t>
        </w:r>
      </w:hyperlink>
    </w:p>
    <w:p w14:paraId="5E39DE2E" w14:textId="77777777" w:rsidR="00461E87" w:rsidRPr="00193D62" w:rsidRDefault="00461E87" w:rsidP="00060C1C">
      <w:pPr>
        <w:jc w:val="center"/>
      </w:pPr>
    </w:p>
    <w:p w14:paraId="6D0D7DF3" w14:textId="77777777" w:rsidR="00461E87" w:rsidRPr="00193D62" w:rsidRDefault="00461E87" w:rsidP="00060C1C">
      <w:pPr>
        <w:jc w:val="center"/>
      </w:pPr>
    </w:p>
    <w:p w14:paraId="39A5BB0E" w14:textId="77777777" w:rsidR="003F6D65" w:rsidRPr="00193D62" w:rsidRDefault="003F6D65" w:rsidP="00060C1C">
      <w:pPr>
        <w:jc w:val="center"/>
      </w:pPr>
    </w:p>
    <w:sectPr w:rsidR="003F6D65" w:rsidRPr="00193D62" w:rsidSect="00193D62">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4D410" w14:textId="77777777" w:rsidR="009C6A64" w:rsidRDefault="009C6A64" w:rsidP="006C2DED">
      <w:r>
        <w:separator/>
      </w:r>
    </w:p>
  </w:endnote>
  <w:endnote w:type="continuationSeparator" w:id="0">
    <w:p w14:paraId="2216A566" w14:textId="77777777" w:rsidR="009C6A64" w:rsidRDefault="009C6A64" w:rsidP="006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41672"/>
      <w:docPartObj>
        <w:docPartGallery w:val="Page Numbers (Bottom of Page)"/>
        <w:docPartUnique/>
      </w:docPartObj>
    </w:sdtPr>
    <w:sdtEndPr/>
    <w:sdtContent>
      <w:p w14:paraId="13A01662" w14:textId="77777777" w:rsidR="00DF7353" w:rsidRDefault="009D1800">
        <w:pPr>
          <w:pStyle w:val="Footer"/>
          <w:jc w:val="center"/>
        </w:pPr>
        <w:r>
          <w:rPr>
            <w:noProof/>
          </w:rPr>
          <w:fldChar w:fldCharType="begin"/>
        </w:r>
        <w:r>
          <w:rPr>
            <w:noProof/>
          </w:rPr>
          <w:instrText xml:space="preserve"> PAGE   \* MERGEFORMAT </w:instrText>
        </w:r>
        <w:r>
          <w:rPr>
            <w:noProof/>
          </w:rPr>
          <w:fldChar w:fldCharType="separate"/>
        </w:r>
        <w:r w:rsidR="00F82D11">
          <w:rPr>
            <w:noProof/>
          </w:rPr>
          <w:t>1</w:t>
        </w:r>
        <w:r>
          <w:rPr>
            <w:noProof/>
          </w:rPr>
          <w:fldChar w:fldCharType="end"/>
        </w:r>
      </w:p>
    </w:sdtContent>
  </w:sdt>
  <w:p w14:paraId="7F877BF9" w14:textId="77777777" w:rsidR="00DF7353" w:rsidRDefault="00DF7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F15A" w14:textId="77777777" w:rsidR="009C6A64" w:rsidRDefault="009C6A64" w:rsidP="006C2DED">
      <w:r>
        <w:separator/>
      </w:r>
    </w:p>
  </w:footnote>
  <w:footnote w:type="continuationSeparator" w:id="0">
    <w:p w14:paraId="377B9138" w14:textId="77777777" w:rsidR="009C6A64" w:rsidRDefault="009C6A64" w:rsidP="006C2DED">
      <w:r>
        <w:continuationSeparator/>
      </w:r>
    </w:p>
  </w:footnote>
  <w:footnote w:id="1">
    <w:p w14:paraId="2B2D19A8" w14:textId="77777777" w:rsidR="005B5840" w:rsidRDefault="005B5840" w:rsidP="005B5840">
      <w:pPr>
        <w:pStyle w:val="FootnoteText"/>
        <w:jc w:val="both"/>
      </w:pPr>
      <w:r w:rsidRPr="00A01E4E">
        <w:rPr>
          <w:rStyle w:val="FootnoteReference"/>
        </w:rPr>
        <w:t>ψ</w:t>
      </w:r>
      <w:r w:rsidRPr="00A01E4E">
        <w:t xml:space="preserve"> Corresponding Author: </w:t>
      </w:r>
      <w:proofErr w:type="spellStart"/>
      <w:r w:rsidRPr="00A01E4E">
        <w:rPr>
          <w:color w:val="000000"/>
        </w:rPr>
        <w:t>Hooy</w:t>
      </w:r>
      <w:proofErr w:type="spellEnd"/>
      <w:r w:rsidRPr="00A01E4E">
        <w:rPr>
          <w:color w:val="000000"/>
        </w:rPr>
        <w:t xml:space="preserve"> </w:t>
      </w:r>
      <w:proofErr w:type="spellStart"/>
      <w:r w:rsidRPr="00A01E4E">
        <w:rPr>
          <w:color w:val="000000"/>
        </w:rPr>
        <w:t>Chee</w:t>
      </w:r>
      <w:proofErr w:type="spellEnd"/>
      <w:r w:rsidRPr="00A01E4E">
        <w:rPr>
          <w:color w:val="000000"/>
        </w:rPr>
        <w:t xml:space="preserve"> </w:t>
      </w:r>
      <w:proofErr w:type="spellStart"/>
      <w:r w:rsidRPr="00A01E4E">
        <w:rPr>
          <w:color w:val="000000"/>
        </w:rPr>
        <w:t>Wooi</w:t>
      </w:r>
      <w:proofErr w:type="spellEnd"/>
      <w:r w:rsidRPr="00A01E4E">
        <w:rPr>
          <w:color w:val="000000"/>
        </w:rPr>
        <w:t xml:space="preserve">, </w:t>
      </w:r>
      <w:r w:rsidRPr="00A01E4E">
        <w:t xml:space="preserve">School of Management, </w:t>
      </w:r>
      <w:proofErr w:type="spellStart"/>
      <w:r w:rsidRPr="00A01E4E">
        <w:t>Universiti</w:t>
      </w:r>
      <w:proofErr w:type="spellEnd"/>
      <w:r w:rsidRPr="00A01E4E">
        <w:t xml:space="preserve"> </w:t>
      </w:r>
      <w:proofErr w:type="spellStart"/>
      <w:r w:rsidRPr="00A01E4E">
        <w:t>Sains</w:t>
      </w:r>
      <w:proofErr w:type="spellEnd"/>
      <w:r w:rsidRPr="00A01E4E">
        <w:t xml:space="preserve"> Malaysia, 11800 </w:t>
      </w:r>
      <w:smartTag w:uri="urn:schemas-microsoft-com:office:smarttags" w:element="stockticker">
        <w:r w:rsidRPr="00A01E4E">
          <w:t>USM</w:t>
        </w:r>
      </w:smartTag>
      <w:r w:rsidRPr="00A01E4E">
        <w:t>, Penang, Malaysia; Email:</w:t>
      </w:r>
      <w:r w:rsidRPr="00A01E4E">
        <w:rPr>
          <w:u w:val="single"/>
        </w:rPr>
        <w:t xml:space="preserve"> </w:t>
      </w:r>
      <w:hyperlink r:id="rId1" w:history="1">
        <w:r w:rsidRPr="00A01E4E">
          <w:rPr>
            <w:rStyle w:val="Hyperlink"/>
            <w:lang w:val="fr-FR"/>
          </w:rPr>
          <w:t>cwhooy@usm.my</w:t>
        </w:r>
      </w:hyperlink>
      <w:r w:rsidRPr="00A01E4E">
        <w:t xml:space="preserve">; </w:t>
      </w:r>
      <w:r w:rsidRPr="00A01E4E">
        <w:rPr>
          <w:bCs/>
        </w:rPr>
        <w:t>Tel: 604-653-</w:t>
      </w:r>
      <w:r w:rsidR="00FF3FCC">
        <w:rPr>
          <w:bCs/>
        </w:rPr>
        <w:t>3889</w:t>
      </w:r>
      <w:r w:rsidRPr="00A01E4E">
        <w:rPr>
          <w:bCs/>
        </w:rPr>
        <w:t>; Fax: 604-</w:t>
      </w:r>
      <w:r w:rsidRPr="00A01E4E">
        <w:t xml:space="preserve">657-7448. </w:t>
      </w:r>
    </w:p>
    <w:p w14:paraId="7C3E0B62" w14:textId="77777777" w:rsidR="005B5840" w:rsidRPr="00A01E4E" w:rsidRDefault="005B5840" w:rsidP="005B5840">
      <w:pPr>
        <w:pStyle w:val="FootnoteText"/>
        <w:jc w:val="both"/>
      </w:pPr>
    </w:p>
  </w:footnote>
  <w:footnote w:id="2">
    <w:p w14:paraId="7347A822" w14:textId="77777777" w:rsidR="00DF7353" w:rsidRPr="00DA559C" w:rsidRDefault="00DF7353" w:rsidP="00D45DFE">
      <w:pPr>
        <w:autoSpaceDE w:val="0"/>
        <w:autoSpaceDN w:val="0"/>
        <w:adjustRightInd w:val="0"/>
        <w:jc w:val="both"/>
        <w:rPr>
          <w:rFonts w:eastAsiaTheme="minorHAnsi"/>
          <w:lang w:eastAsia="en-US"/>
        </w:rPr>
      </w:pPr>
      <w:r w:rsidRPr="00193D62">
        <w:rPr>
          <w:rStyle w:val="FootnoteReference"/>
        </w:rPr>
        <w:footnoteRef/>
      </w:r>
      <w:r w:rsidRPr="00193D62">
        <w:t xml:space="preserve"> </w:t>
      </w:r>
      <w:r w:rsidRPr="00193D62">
        <w:rPr>
          <w:rFonts w:eastAsiaTheme="minorHAnsi"/>
          <w:lang w:eastAsia="en-US"/>
        </w:rPr>
        <w:t>Frankel and Rose (1998) suggest that intra-union trade is encouraged by reducing the risk of exchange rate changes and that this in turn increases the deg</w:t>
      </w:r>
      <w:r w:rsidRPr="000B35C4">
        <w:rPr>
          <w:rFonts w:eastAsiaTheme="minorHAnsi"/>
          <w:lang w:eastAsia="en-US"/>
        </w:rPr>
        <w:t>ree of synchronization between business cycles of countries comprising the union which is itself a criterion for an O</w:t>
      </w:r>
      <w:r>
        <w:rPr>
          <w:rFonts w:eastAsiaTheme="minorHAnsi"/>
          <w:lang w:eastAsia="en-US"/>
        </w:rPr>
        <w:t>ptimal Currency Area (O</w:t>
      </w:r>
      <w:r w:rsidRPr="000B35C4">
        <w:rPr>
          <w:rFonts w:eastAsiaTheme="minorHAnsi"/>
          <w:lang w:eastAsia="en-US"/>
        </w:rPr>
        <w:t>CA</w:t>
      </w:r>
      <w:r>
        <w:rPr>
          <w:rFonts w:eastAsiaTheme="minorHAnsi"/>
          <w:lang w:eastAsia="en-US"/>
        </w:rPr>
        <w:t>)</w:t>
      </w:r>
      <w:r w:rsidRPr="000B35C4">
        <w:rPr>
          <w:rFonts w:eastAsiaTheme="minorHAnsi"/>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016"/>
    <w:multiLevelType w:val="hybridMultilevel"/>
    <w:tmpl w:val="3858D4DA"/>
    <w:lvl w:ilvl="0" w:tplc="C83299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F72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B010013"/>
    <w:multiLevelType w:val="multilevel"/>
    <w:tmpl w:val="0414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F053E"/>
    <w:multiLevelType w:val="hybridMultilevel"/>
    <w:tmpl w:val="90E2B1AC"/>
    <w:lvl w:ilvl="0" w:tplc="C83299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66"/>
    <w:rsid w:val="00012B11"/>
    <w:rsid w:val="0003057A"/>
    <w:rsid w:val="00034074"/>
    <w:rsid w:val="00046BC5"/>
    <w:rsid w:val="0005009A"/>
    <w:rsid w:val="0005253E"/>
    <w:rsid w:val="0005395C"/>
    <w:rsid w:val="000539D1"/>
    <w:rsid w:val="00053A27"/>
    <w:rsid w:val="00053A65"/>
    <w:rsid w:val="00060C1C"/>
    <w:rsid w:val="0006412A"/>
    <w:rsid w:val="000667F9"/>
    <w:rsid w:val="00073E82"/>
    <w:rsid w:val="00085D50"/>
    <w:rsid w:val="00087A98"/>
    <w:rsid w:val="00093312"/>
    <w:rsid w:val="00094187"/>
    <w:rsid w:val="000A3673"/>
    <w:rsid w:val="000A471C"/>
    <w:rsid w:val="000A4CE7"/>
    <w:rsid w:val="000A4E24"/>
    <w:rsid w:val="000B19D5"/>
    <w:rsid w:val="000B1A1E"/>
    <w:rsid w:val="000B2E74"/>
    <w:rsid w:val="000C630D"/>
    <w:rsid w:val="000C75A8"/>
    <w:rsid w:val="000D17FA"/>
    <w:rsid w:val="000D633E"/>
    <w:rsid w:val="000E02B5"/>
    <w:rsid w:val="000E3335"/>
    <w:rsid w:val="000F0202"/>
    <w:rsid w:val="000F4C64"/>
    <w:rsid w:val="00101B8F"/>
    <w:rsid w:val="001039AF"/>
    <w:rsid w:val="00106687"/>
    <w:rsid w:val="00113B50"/>
    <w:rsid w:val="00133087"/>
    <w:rsid w:val="001362FA"/>
    <w:rsid w:val="001433FC"/>
    <w:rsid w:val="0014424F"/>
    <w:rsid w:val="001511CA"/>
    <w:rsid w:val="00151C53"/>
    <w:rsid w:val="00153B2C"/>
    <w:rsid w:val="0016166D"/>
    <w:rsid w:val="0016318B"/>
    <w:rsid w:val="001646FA"/>
    <w:rsid w:val="00172E10"/>
    <w:rsid w:val="00186C8F"/>
    <w:rsid w:val="00190E0B"/>
    <w:rsid w:val="00193D62"/>
    <w:rsid w:val="0019680C"/>
    <w:rsid w:val="001B020A"/>
    <w:rsid w:val="001B0D87"/>
    <w:rsid w:val="001D0EA1"/>
    <w:rsid w:val="001D1BCA"/>
    <w:rsid w:val="001D5253"/>
    <w:rsid w:val="001D5D9C"/>
    <w:rsid w:val="001D68A2"/>
    <w:rsid w:val="001F1F07"/>
    <w:rsid w:val="001F1FBA"/>
    <w:rsid w:val="0020438C"/>
    <w:rsid w:val="002043B8"/>
    <w:rsid w:val="00204A5F"/>
    <w:rsid w:val="00213356"/>
    <w:rsid w:val="0021528C"/>
    <w:rsid w:val="002159EE"/>
    <w:rsid w:val="0021766C"/>
    <w:rsid w:val="00221FD2"/>
    <w:rsid w:val="00240C78"/>
    <w:rsid w:val="00244251"/>
    <w:rsid w:val="00247AB1"/>
    <w:rsid w:val="00255E19"/>
    <w:rsid w:val="002565C7"/>
    <w:rsid w:val="00262750"/>
    <w:rsid w:val="00262A07"/>
    <w:rsid w:val="00263292"/>
    <w:rsid w:val="00270F92"/>
    <w:rsid w:val="00274802"/>
    <w:rsid w:val="00281208"/>
    <w:rsid w:val="002816A9"/>
    <w:rsid w:val="00284973"/>
    <w:rsid w:val="00296B86"/>
    <w:rsid w:val="002A6CDE"/>
    <w:rsid w:val="002C1838"/>
    <w:rsid w:val="002D0D8A"/>
    <w:rsid w:val="002D2A3E"/>
    <w:rsid w:val="002D2DD4"/>
    <w:rsid w:val="002D2EF9"/>
    <w:rsid w:val="002D5273"/>
    <w:rsid w:val="002F2C91"/>
    <w:rsid w:val="002F40B3"/>
    <w:rsid w:val="00300A4A"/>
    <w:rsid w:val="00302372"/>
    <w:rsid w:val="003052B5"/>
    <w:rsid w:val="003060BB"/>
    <w:rsid w:val="00311F27"/>
    <w:rsid w:val="00313872"/>
    <w:rsid w:val="00322A18"/>
    <w:rsid w:val="00322CD0"/>
    <w:rsid w:val="00325F53"/>
    <w:rsid w:val="00330A11"/>
    <w:rsid w:val="00330F41"/>
    <w:rsid w:val="0033257A"/>
    <w:rsid w:val="00335B5F"/>
    <w:rsid w:val="00342FFF"/>
    <w:rsid w:val="00356542"/>
    <w:rsid w:val="003611CC"/>
    <w:rsid w:val="003637D6"/>
    <w:rsid w:val="00370AC4"/>
    <w:rsid w:val="00384744"/>
    <w:rsid w:val="00387E20"/>
    <w:rsid w:val="003A0158"/>
    <w:rsid w:val="003A07D8"/>
    <w:rsid w:val="003A1B03"/>
    <w:rsid w:val="003A1EB2"/>
    <w:rsid w:val="003A1FC9"/>
    <w:rsid w:val="003A27B0"/>
    <w:rsid w:val="003A2DB5"/>
    <w:rsid w:val="003A5127"/>
    <w:rsid w:val="003B1407"/>
    <w:rsid w:val="003B19E8"/>
    <w:rsid w:val="003B2A5D"/>
    <w:rsid w:val="003B5B70"/>
    <w:rsid w:val="003C696B"/>
    <w:rsid w:val="003D41DF"/>
    <w:rsid w:val="003D76F1"/>
    <w:rsid w:val="003E04E4"/>
    <w:rsid w:val="003E0E06"/>
    <w:rsid w:val="003E404D"/>
    <w:rsid w:val="003E4292"/>
    <w:rsid w:val="003E69F8"/>
    <w:rsid w:val="003F046D"/>
    <w:rsid w:val="003F0E88"/>
    <w:rsid w:val="003F2083"/>
    <w:rsid w:val="003F2333"/>
    <w:rsid w:val="003F6D65"/>
    <w:rsid w:val="0040015A"/>
    <w:rsid w:val="00411C92"/>
    <w:rsid w:val="00413132"/>
    <w:rsid w:val="00420292"/>
    <w:rsid w:val="00421176"/>
    <w:rsid w:val="004223DA"/>
    <w:rsid w:val="004308C0"/>
    <w:rsid w:val="0043228B"/>
    <w:rsid w:val="00433B45"/>
    <w:rsid w:val="00434DB2"/>
    <w:rsid w:val="00442BE2"/>
    <w:rsid w:val="00443FAF"/>
    <w:rsid w:val="00446BEC"/>
    <w:rsid w:val="00447014"/>
    <w:rsid w:val="00461E87"/>
    <w:rsid w:val="0046224B"/>
    <w:rsid w:val="004A64B8"/>
    <w:rsid w:val="004C46EB"/>
    <w:rsid w:val="004D3692"/>
    <w:rsid w:val="004E665C"/>
    <w:rsid w:val="004E7158"/>
    <w:rsid w:val="004E7805"/>
    <w:rsid w:val="004F55D7"/>
    <w:rsid w:val="005002AE"/>
    <w:rsid w:val="00503568"/>
    <w:rsid w:val="00520A3D"/>
    <w:rsid w:val="0052530F"/>
    <w:rsid w:val="005346FA"/>
    <w:rsid w:val="0053561E"/>
    <w:rsid w:val="005534FF"/>
    <w:rsid w:val="00561557"/>
    <w:rsid w:val="00561E9C"/>
    <w:rsid w:val="0056271D"/>
    <w:rsid w:val="00566D4E"/>
    <w:rsid w:val="005726F9"/>
    <w:rsid w:val="005738F5"/>
    <w:rsid w:val="00573F2C"/>
    <w:rsid w:val="005804B4"/>
    <w:rsid w:val="00585534"/>
    <w:rsid w:val="00587F22"/>
    <w:rsid w:val="00593929"/>
    <w:rsid w:val="0059592E"/>
    <w:rsid w:val="005B5840"/>
    <w:rsid w:val="005C3DD8"/>
    <w:rsid w:val="005C6074"/>
    <w:rsid w:val="005D79EC"/>
    <w:rsid w:val="005F76C1"/>
    <w:rsid w:val="00602F5E"/>
    <w:rsid w:val="00605DAD"/>
    <w:rsid w:val="00616C6C"/>
    <w:rsid w:val="0062171B"/>
    <w:rsid w:val="00632C9B"/>
    <w:rsid w:val="00635618"/>
    <w:rsid w:val="00640EC6"/>
    <w:rsid w:val="00643094"/>
    <w:rsid w:val="00653871"/>
    <w:rsid w:val="00685FC7"/>
    <w:rsid w:val="00690D86"/>
    <w:rsid w:val="00691040"/>
    <w:rsid w:val="006932BC"/>
    <w:rsid w:val="006A2BA1"/>
    <w:rsid w:val="006A5C21"/>
    <w:rsid w:val="006B138D"/>
    <w:rsid w:val="006B4A03"/>
    <w:rsid w:val="006C2DED"/>
    <w:rsid w:val="006C55FD"/>
    <w:rsid w:val="006C5FAC"/>
    <w:rsid w:val="006C6B42"/>
    <w:rsid w:val="006D07B1"/>
    <w:rsid w:val="006D0D09"/>
    <w:rsid w:val="006E1350"/>
    <w:rsid w:val="006E2105"/>
    <w:rsid w:val="006F2E44"/>
    <w:rsid w:val="007037BE"/>
    <w:rsid w:val="00703A7B"/>
    <w:rsid w:val="00704115"/>
    <w:rsid w:val="00704C75"/>
    <w:rsid w:val="0070560A"/>
    <w:rsid w:val="00705766"/>
    <w:rsid w:val="007105CD"/>
    <w:rsid w:val="007108A6"/>
    <w:rsid w:val="00721EBD"/>
    <w:rsid w:val="007231EA"/>
    <w:rsid w:val="00726653"/>
    <w:rsid w:val="007451CB"/>
    <w:rsid w:val="00745A3F"/>
    <w:rsid w:val="00746F28"/>
    <w:rsid w:val="00773265"/>
    <w:rsid w:val="00775B81"/>
    <w:rsid w:val="0078503B"/>
    <w:rsid w:val="007B2630"/>
    <w:rsid w:val="007C093C"/>
    <w:rsid w:val="007C3924"/>
    <w:rsid w:val="007C661F"/>
    <w:rsid w:val="007D2D2D"/>
    <w:rsid w:val="007D7E73"/>
    <w:rsid w:val="007E0C3E"/>
    <w:rsid w:val="007E1BEA"/>
    <w:rsid w:val="007E2F3E"/>
    <w:rsid w:val="007F2DCC"/>
    <w:rsid w:val="007F4EBA"/>
    <w:rsid w:val="007F6C2E"/>
    <w:rsid w:val="008069A4"/>
    <w:rsid w:val="00840143"/>
    <w:rsid w:val="0085112D"/>
    <w:rsid w:val="00852AF0"/>
    <w:rsid w:val="0086693E"/>
    <w:rsid w:val="008678B2"/>
    <w:rsid w:val="00892B7A"/>
    <w:rsid w:val="0089787F"/>
    <w:rsid w:val="008A1D2A"/>
    <w:rsid w:val="008A34CB"/>
    <w:rsid w:val="008A5DCF"/>
    <w:rsid w:val="008A676F"/>
    <w:rsid w:val="008B2AD6"/>
    <w:rsid w:val="008B6ABC"/>
    <w:rsid w:val="008F10B0"/>
    <w:rsid w:val="008F15B6"/>
    <w:rsid w:val="008F3365"/>
    <w:rsid w:val="008F586E"/>
    <w:rsid w:val="009030E7"/>
    <w:rsid w:val="009134E7"/>
    <w:rsid w:val="0092262E"/>
    <w:rsid w:val="00923F07"/>
    <w:rsid w:val="00931B11"/>
    <w:rsid w:val="009456AA"/>
    <w:rsid w:val="00946CA7"/>
    <w:rsid w:val="00950C6A"/>
    <w:rsid w:val="0095326B"/>
    <w:rsid w:val="0096643B"/>
    <w:rsid w:val="009678E5"/>
    <w:rsid w:val="00971104"/>
    <w:rsid w:val="009870FC"/>
    <w:rsid w:val="00993FF9"/>
    <w:rsid w:val="009A43FF"/>
    <w:rsid w:val="009A4C04"/>
    <w:rsid w:val="009B12FB"/>
    <w:rsid w:val="009C232B"/>
    <w:rsid w:val="009C6A64"/>
    <w:rsid w:val="009C78B5"/>
    <w:rsid w:val="009D1800"/>
    <w:rsid w:val="009D2060"/>
    <w:rsid w:val="009F67AF"/>
    <w:rsid w:val="00A10C73"/>
    <w:rsid w:val="00A30B81"/>
    <w:rsid w:val="00A3261F"/>
    <w:rsid w:val="00A36DB9"/>
    <w:rsid w:val="00A411B3"/>
    <w:rsid w:val="00A44A1F"/>
    <w:rsid w:val="00A45C6A"/>
    <w:rsid w:val="00A462D1"/>
    <w:rsid w:val="00A47961"/>
    <w:rsid w:val="00A63082"/>
    <w:rsid w:val="00A71CA1"/>
    <w:rsid w:val="00AA5EB0"/>
    <w:rsid w:val="00AA637D"/>
    <w:rsid w:val="00AA6873"/>
    <w:rsid w:val="00AA7D21"/>
    <w:rsid w:val="00AB2953"/>
    <w:rsid w:val="00AC00EC"/>
    <w:rsid w:val="00AC3C42"/>
    <w:rsid w:val="00AC64E5"/>
    <w:rsid w:val="00AD22C0"/>
    <w:rsid w:val="00AD3BBA"/>
    <w:rsid w:val="00AD51EE"/>
    <w:rsid w:val="00AE0D39"/>
    <w:rsid w:val="00AF65F7"/>
    <w:rsid w:val="00B22D7F"/>
    <w:rsid w:val="00B371B4"/>
    <w:rsid w:val="00B4139B"/>
    <w:rsid w:val="00B52001"/>
    <w:rsid w:val="00B72BE9"/>
    <w:rsid w:val="00B9120B"/>
    <w:rsid w:val="00B94EDA"/>
    <w:rsid w:val="00BA7B8C"/>
    <w:rsid w:val="00BB07DF"/>
    <w:rsid w:val="00BB29AB"/>
    <w:rsid w:val="00BB32BD"/>
    <w:rsid w:val="00BC38BC"/>
    <w:rsid w:val="00BC3990"/>
    <w:rsid w:val="00BC4F45"/>
    <w:rsid w:val="00BC58DC"/>
    <w:rsid w:val="00BD296E"/>
    <w:rsid w:val="00BD7399"/>
    <w:rsid w:val="00BD77F2"/>
    <w:rsid w:val="00BF2D18"/>
    <w:rsid w:val="00BF504A"/>
    <w:rsid w:val="00C05CD1"/>
    <w:rsid w:val="00C23581"/>
    <w:rsid w:val="00C2488D"/>
    <w:rsid w:val="00C25345"/>
    <w:rsid w:val="00C31C9A"/>
    <w:rsid w:val="00C53941"/>
    <w:rsid w:val="00C63958"/>
    <w:rsid w:val="00C862C5"/>
    <w:rsid w:val="00C91803"/>
    <w:rsid w:val="00C91F08"/>
    <w:rsid w:val="00C96A81"/>
    <w:rsid w:val="00CA187C"/>
    <w:rsid w:val="00CA55CB"/>
    <w:rsid w:val="00CA5855"/>
    <w:rsid w:val="00CB0CF3"/>
    <w:rsid w:val="00CB1C53"/>
    <w:rsid w:val="00CB66DB"/>
    <w:rsid w:val="00CC2F44"/>
    <w:rsid w:val="00CC4A6E"/>
    <w:rsid w:val="00CD1415"/>
    <w:rsid w:val="00CF34B0"/>
    <w:rsid w:val="00D04300"/>
    <w:rsid w:val="00D06721"/>
    <w:rsid w:val="00D23F29"/>
    <w:rsid w:val="00D25985"/>
    <w:rsid w:val="00D31163"/>
    <w:rsid w:val="00D41768"/>
    <w:rsid w:val="00D45DFE"/>
    <w:rsid w:val="00D71942"/>
    <w:rsid w:val="00D73E67"/>
    <w:rsid w:val="00D7633E"/>
    <w:rsid w:val="00D92EB4"/>
    <w:rsid w:val="00DA559C"/>
    <w:rsid w:val="00DA563C"/>
    <w:rsid w:val="00DB19DD"/>
    <w:rsid w:val="00DB1D19"/>
    <w:rsid w:val="00DC016A"/>
    <w:rsid w:val="00DD22D6"/>
    <w:rsid w:val="00DD5A9F"/>
    <w:rsid w:val="00DE34B5"/>
    <w:rsid w:val="00DF50B0"/>
    <w:rsid w:val="00DF7353"/>
    <w:rsid w:val="00E03D87"/>
    <w:rsid w:val="00E063C9"/>
    <w:rsid w:val="00E12098"/>
    <w:rsid w:val="00E21D96"/>
    <w:rsid w:val="00E23A10"/>
    <w:rsid w:val="00E278D4"/>
    <w:rsid w:val="00E306D3"/>
    <w:rsid w:val="00E30EE3"/>
    <w:rsid w:val="00E321AC"/>
    <w:rsid w:val="00E44C18"/>
    <w:rsid w:val="00E50E3F"/>
    <w:rsid w:val="00E5659B"/>
    <w:rsid w:val="00E73C56"/>
    <w:rsid w:val="00E85ED3"/>
    <w:rsid w:val="00EA0FD1"/>
    <w:rsid w:val="00EA16EF"/>
    <w:rsid w:val="00EA2F80"/>
    <w:rsid w:val="00EB057D"/>
    <w:rsid w:val="00EB189D"/>
    <w:rsid w:val="00EB2076"/>
    <w:rsid w:val="00EC41C9"/>
    <w:rsid w:val="00EC6DF8"/>
    <w:rsid w:val="00ED2A19"/>
    <w:rsid w:val="00ED2B39"/>
    <w:rsid w:val="00ED500D"/>
    <w:rsid w:val="00EE6809"/>
    <w:rsid w:val="00EE788B"/>
    <w:rsid w:val="00EF0811"/>
    <w:rsid w:val="00EF1101"/>
    <w:rsid w:val="00EF5A52"/>
    <w:rsid w:val="00EF6253"/>
    <w:rsid w:val="00EF6D9E"/>
    <w:rsid w:val="00F0165F"/>
    <w:rsid w:val="00F04E81"/>
    <w:rsid w:val="00F13CC7"/>
    <w:rsid w:val="00F1474A"/>
    <w:rsid w:val="00F175E2"/>
    <w:rsid w:val="00F20AFB"/>
    <w:rsid w:val="00F20DB5"/>
    <w:rsid w:val="00F22AB2"/>
    <w:rsid w:val="00F23CB8"/>
    <w:rsid w:val="00F25827"/>
    <w:rsid w:val="00F32ED6"/>
    <w:rsid w:val="00F342D9"/>
    <w:rsid w:val="00F424BB"/>
    <w:rsid w:val="00F42B7A"/>
    <w:rsid w:val="00F6703C"/>
    <w:rsid w:val="00F711E2"/>
    <w:rsid w:val="00F736C2"/>
    <w:rsid w:val="00F756C5"/>
    <w:rsid w:val="00F82D11"/>
    <w:rsid w:val="00F83429"/>
    <w:rsid w:val="00F864BA"/>
    <w:rsid w:val="00F91C30"/>
    <w:rsid w:val="00F922B5"/>
    <w:rsid w:val="00FA588B"/>
    <w:rsid w:val="00FA6CE8"/>
    <w:rsid w:val="00FB634B"/>
    <w:rsid w:val="00FB676A"/>
    <w:rsid w:val="00FB7303"/>
    <w:rsid w:val="00FC3B9F"/>
    <w:rsid w:val="00FC62E1"/>
    <w:rsid w:val="00FE0BD9"/>
    <w:rsid w:val="00FE312F"/>
    <w:rsid w:val="00FE3EF6"/>
    <w:rsid w:val="00FF0DC7"/>
    <w:rsid w:val="00FF3653"/>
    <w:rsid w:val="00FF37FD"/>
    <w:rsid w:val="00FF3FCC"/>
    <w:rsid w:val="00FF4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9F6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07"/>
    <w:rPr>
      <w:rFonts w:eastAsia="SimSun"/>
    </w:rPr>
  </w:style>
  <w:style w:type="paragraph" w:styleId="Heading3">
    <w:name w:val="heading 3"/>
    <w:basedOn w:val="Normal"/>
    <w:next w:val="Normal"/>
    <w:link w:val="Heading3Char"/>
    <w:uiPriority w:val="99"/>
    <w:qFormat/>
    <w:rsid w:val="00D45DFE"/>
    <w:pPr>
      <w:keepNext/>
      <w:spacing w:line="360" w:lineRule="auto"/>
      <w:jc w:val="both"/>
      <w:outlineLvl w:val="2"/>
    </w:pPr>
    <w:rPr>
      <w:rFonts w:eastAsia="Times New Roman"/>
      <w:b/>
      <w: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5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0">
    <w:name w:val="CM10"/>
    <w:basedOn w:val="Normal"/>
    <w:next w:val="Normal"/>
    <w:rsid w:val="00705766"/>
    <w:pPr>
      <w:autoSpaceDE w:val="0"/>
      <w:autoSpaceDN w:val="0"/>
      <w:adjustRightInd w:val="0"/>
      <w:spacing w:after="125"/>
    </w:pPr>
    <w:rPr>
      <w:rFonts w:eastAsia="MS Mincho"/>
      <w:lang w:eastAsia="ja-JP"/>
    </w:rPr>
  </w:style>
  <w:style w:type="paragraph" w:styleId="Header">
    <w:name w:val="header"/>
    <w:basedOn w:val="Normal"/>
    <w:link w:val="HeaderChar"/>
    <w:uiPriority w:val="99"/>
    <w:rsid w:val="006C2DED"/>
    <w:pPr>
      <w:tabs>
        <w:tab w:val="center" w:pos="4680"/>
        <w:tab w:val="right" w:pos="9360"/>
      </w:tabs>
    </w:pPr>
  </w:style>
  <w:style w:type="character" w:customStyle="1" w:styleId="HeaderChar">
    <w:name w:val="Header Char"/>
    <w:basedOn w:val="DefaultParagraphFont"/>
    <w:link w:val="Header"/>
    <w:uiPriority w:val="99"/>
    <w:rsid w:val="006C2DED"/>
    <w:rPr>
      <w:rFonts w:eastAsia="SimSun"/>
      <w:lang w:eastAsia="zh-CN"/>
    </w:rPr>
  </w:style>
  <w:style w:type="paragraph" w:styleId="Footer">
    <w:name w:val="footer"/>
    <w:basedOn w:val="Normal"/>
    <w:link w:val="FooterChar"/>
    <w:uiPriority w:val="99"/>
    <w:rsid w:val="006C2DED"/>
    <w:pPr>
      <w:tabs>
        <w:tab w:val="center" w:pos="4680"/>
        <w:tab w:val="right" w:pos="9360"/>
      </w:tabs>
    </w:pPr>
  </w:style>
  <w:style w:type="character" w:customStyle="1" w:styleId="FooterChar">
    <w:name w:val="Footer Char"/>
    <w:basedOn w:val="DefaultParagraphFont"/>
    <w:link w:val="Footer"/>
    <w:uiPriority w:val="99"/>
    <w:rsid w:val="006C2DED"/>
    <w:rPr>
      <w:rFonts w:eastAsia="SimSun"/>
      <w:lang w:eastAsia="zh-CN"/>
    </w:rPr>
  </w:style>
  <w:style w:type="paragraph" w:styleId="BalloonText">
    <w:name w:val="Balloon Text"/>
    <w:basedOn w:val="Normal"/>
    <w:link w:val="BalloonTextChar"/>
    <w:uiPriority w:val="99"/>
    <w:rsid w:val="006C2DED"/>
    <w:rPr>
      <w:rFonts w:ascii="Tahoma" w:hAnsi="Tahoma" w:cs="Tahoma"/>
      <w:sz w:val="16"/>
      <w:szCs w:val="16"/>
    </w:rPr>
  </w:style>
  <w:style w:type="character" w:customStyle="1" w:styleId="BalloonTextChar">
    <w:name w:val="Balloon Text Char"/>
    <w:basedOn w:val="DefaultParagraphFont"/>
    <w:link w:val="BalloonText"/>
    <w:uiPriority w:val="99"/>
    <w:rsid w:val="006C2DED"/>
    <w:rPr>
      <w:rFonts w:ascii="Tahoma" w:eastAsia="SimSun" w:hAnsi="Tahoma" w:cs="Tahoma"/>
      <w:sz w:val="16"/>
      <w:szCs w:val="16"/>
      <w:lang w:eastAsia="zh-CN"/>
    </w:rPr>
  </w:style>
  <w:style w:type="paragraph" w:styleId="FootnoteText">
    <w:name w:val="footnote text"/>
    <w:basedOn w:val="Normal"/>
    <w:link w:val="FootnoteTextChar"/>
    <w:rsid w:val="006C2DED"/>
    <w:rPr>
      <w:lang w:val="en-GB" w:eastAsia="en-US"/>
    </w:rPr>
  </w:style>
  <w:style w:type="character" w:customStyle="1" w:styleId="FootnoteTextChar">
    <w:name w:val="Footnote Text Char"/>
    <w:basedOn w:val="DefaultParagraphFont"/>
    <w:link w:val="FootnoteText"/>
    <w:rsid w:val="006C2DED"/>
    <w:rPr>
      <w:rFonts w:eastAsia="SimSun"/>
      <w:lang w:val="en-GB"/>
    </w:rPr>
  </w:style>
  <w:style w:type="character" w:styleId="FootnoteReference">
    <w:name w:val="footnote reference"/>
    <w:basedOn w:val="DefaultParagraphFont"/>
    <w:rsid w:val="006C2DED"/>
    <w:rPr>
      <w:rFonts w:cs="Times New Roman"/>
      <w:vertAlign w:val="superscript"/>
    </w:rPr>
  </w:style>
  <w:style w:type="paragraph" w:styleId="ListParagraph">
    <w:name w:val="List Paragraph"/>
    <w:basedOn w:val="Normal"/>
    <w:uiPriority w:val="34"/>
    <w:qFormat/>
    <w:rsid w:val="006C2DED"/>
    <w:pPr>
      <w:spacing w:after="200" w:line="276" w:lineRule="auto"/>
      <w:ind w:left="720"/>
      <w:contextualSpacing/>
    </w:pPr>
    <w:rPr>
      <w:rFonts w:ascii="Calibri" w:eastAsia="Times New Roman" w:hAnsi="Calibri"/>
      <w:sz w:val="22"/>
      <w:szCs w:val="22"/>
      <w:lang w:eastAsia="en-US"/>
    </w:rPr>
  </w:style>
  <w:style w:type="character" w:customStyle="1" w:styleId="Heading3Char">
    <w:name w:val="Heading 3 Char"/>
    <w:basedOn w:val="DefaultParagraphFont"/>
    <w:link w:val="Heading3"/>
    <w:uiPriority w:val="99"/>
    <w:rsid w:val="00D45DFE"/>
    <w:rPr>
      <w:b/>
      <w:i/>
      <w:sz w:val="24"/>
      <w:szCs w:val="22"/>
      <w:lang w:eastAsia="en-US"/>
    </w:rPr>
  </w:style>
  <w:style w:type="character" w:customStyle="1" w:styleId="FootnoteCharacters">
    <w:name w:val="Footnote Characters"/>
    <w:basedOn w:val="DefaultParagraphFont"/>
    <w:rsid w:val="00D45DFE"/>
    <w:rPr>
      <w:vertAlign w:val="superscript"/>
    </w:rPr>
  </w:style>
  <w:style w:type="character" w:styleId="Hyperlink">
    <w:name w:val="Hyperlink"/>
    <w:basedOn w:val="DefaultParagraphFont"/>
    <w:unhideWhenUsed/>
    <w:rsid w:val="00D45DFE"/>
    <w:rPr>
      <w:color w:val="0000FF"/>
      <w:u w:val="single"/>
    </w:rPr>
  </w:style>
  <w:style w:type="paragraph" w:styleId="NormalWeb">
    <w:name w:val="Normal (Web)"/>
    <w:basedOn w:val="Normal"/>
    <w:uiPriority w:val="99"/>
    <w:unhideWhenUsed/>
    <w:rsid w:val="00D45DFE"/>
    <w:pPr>
      <w:spacing w:before="100" w:beforeAutospacing="1" w:after="100" w:afterAutospacing="1"/>
    </w:pPr>
    <w:rPr>
      <w:rFonts w:eastAsia="Times New Roman"/>
      <w:sz w:val="24"/>
      <w:szCs w:val="24"/>
      <w:lang w:eastAsia="en-US"/>
    </w:rPr>
  </w:style>
  <w:style w:type="character" w:customStyle="1" w:styleId="apple-style-span">
    <w:name w:val="apple-style-span"/>
    <w:basedOn w:val="DefaultParagraphFont"/>
    <w:rsid w:val="00D45DFE"/>
  </w:style>
  <w:style w:type="paragraph" w:styleId="Title">
    <w:name w:val="Title"/>
    <w:basedOn w:val="Normal"/>
    <w:link w:val="TitleChar"/>
    <w:uiPriority w:val="99"/>
    <w:qFormat/>
    <w:rsid w:val="00D45DFE"/>
    <w:pPr>
      <w:jc w:val="center"/>
    </w:pPr>
    <w:rPr>
      <w:b/>
      <w:sz w:val="24"/>
      <w:lang w:val="en-GB" w:eastAsia="en-US"/>
    </w:rPr>
  </w:style>
  <w:style w:type="character" w:customStyle="1" w:styleId="TitleChar">
    <w:name w:val="Title Char"/>
    <w:basedOn w:val="DefaultParagraphFont"/>
    <w:link w:val="Title"/>
    <w:uiPriority w:val="99"/>
    <w:rsid w:val="00D45DFE"/>
    <w:rPr>
      <w:rFonts w:eastAsia="SimSun"/>
      <w:b/>
      <w:sz w:val="24"/>
      <w:lang w:val="en-GB" w:eastAsia="en-US"/>
    </w:rPr>
  </w:style>
  <w:style w:type="paragraph" w:customStyle="1" w:styleId="Default">
    <w:name w:val="Default"/>
    <w:rsid w:val="00D45DFE"/>
    <w:pPr>
      <w:autoSpaceDE w:val="0"/>
      <w:autoSpaceDN w:val="0"/>
      <w:adjustRightInd w:val="0"/>
    </w:pPr>
    <w:rPr>
      <w:rFonts w:ascii="Arial" w:eastAsia="SimSun" w:hAnsi="Arial" w:cs="Arial"/>
      <w:lang w:eastAsia="en-US"/>
    </w:rPr>
  </w:style>
  <w:style w:type="paragraph" w:styleId="BodyText">
    <w:name w:val="Body Text"/>
    <w:basedOn w:val="Normal"/>
    <w:link w:val="BodyTextChar"/>
    <w:rsid w:val="00D45DFE"/>
    <w:pPr>
      <w:spacing w:line="480" w:lineRule="auto"/>
      <w:jc w:val="both"/>
    </w:pPr>
    <w:rPr>
      <w:rFonts w:eastAsia="Times New Roman"/>
      <w:sz w:val="24"/>
      <w:lang w:eastAsia="en-US"/>
    </w:rPr>
  </w:style>
  <w:style w:type="character" w:customStyle="1" w:styleId="BodyTextChar">
    <w:name w:val="Body Text Char"/>
    <w:basedOn w:val="DefaultParagraphFont"/>
    <w:link w:val="BodyText"/>
    <w:rsid w:val="00D45DFE"/>
    <w:rPr>
      <w:sz w:val="24"/>
      <w:lang w:eastAsia="en-US"/>
    </w:rPr>
  </w:style>
  <w:style w:type="paragraph" w:styleId="HTMLPreformatted">
    <w:name w:val="HTML Preformatted"/>
    <w:basedOn w:val="Normal"/>
    <w:link w:val="HTMLPreformattedChar"/>
    <w:uiPriority w:val="99"/>
    <w:rsid w:val="00BC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BC58DC"/>
    <w:rPr>
      <w:rFonts w:ascii="Courier New" w:eastAsia="SimSun" w:hAnsi="Courier New" w:cs="Courier New"/>
      <w:color w:val="000000"/>
    </w:rPr>
  </w:style>
  <w:style w:type="paragraph" w:styleId="BodyTextIndent2">
    <w:name w:val="Body Text Indent 2"/>
    <w:basedOn w:val="Normal"/>
    <w:link w:val="BodyTextIndent2Char"/>
    <w:rsid w:val="00A3261F"/>
    <w:pPr>
      <w:spacing w:after="120" w:line="480" w:lineRule="auto"/>
      <w:ind w:left="360"/>
    </w:pPr>
  </w:style>
  <w:style w:type="character" w:customStyle="1" w:styleId="BodyTextIndent2Char">
    <w:name w:val="Body Text Indent 2 Char"/>
    <w:basedOn w:val="DefaultParagraphFont"/>
    <w:link w:val="BodyTextIndent2"/>
    <w:rsid w:val="00A3261F"/>
    <w:rPr>
      <w:rFonts w:eastAsia="SimSun"/>
    </w:rPr>
  </w:style>
  <w:style w:type="paragraph" w:styleId="BodyTextIndent">
    <w:name w:val="Body Text Indent"/>
    <w:basedOn w:val="Normal"/>
    <w:link w:val="BodyTextIndentChar"/>
    <w:rsid w:val="00A3261F"/>
    <w:pPr>
      <w:spacing w:after="120"/>
      <w:ind w:left="360"/>
    </w:pPr>
  </w:style>
  <w:style w:type="character" w:customStyle="1" w:styleId="BodyTextIndentChar">
    <w:name w:val="Body Text Indent Char"/>
    <w:basedOn w:val="DefaultParagraphFont"/>
    <w:link w:val="BodyTextIndent"/>
    <w:rsid w:val="00A3261F"/>
    <w:rPr>
      <w:rFonts w:eastAsia="SimSun"/>
    </w:rPr>
  </w:style>
  <w:style w:type="character" w:styleId="Strong">
    <w:name w:val="Strong"/>
    <w:basedOn w:val="DefaultParagraphFont"/>
    <w:uiPriority w:val="22"/>
    <w:qFormat/>
    <w:rsid w:val="000E3335"/>
    <w:rPr>
      <w:b/>
      <w:bCs/>
    </w:rPr>
  </w:style>
  <w:style w:type="character" w:styleId="Emphasis">
    <w:name w:val="Emphasis"/>
    <w:basedOn w:val="DefaultParagraphFont"/>
    <w:uiPriority w:val="20"/>
    <w:qFormat/>
    <w:rsid w:val="00FB67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07"/>
    <w:rPr>
      <w:rFonts w:eastAsia="SimSun"/>
    </w:rPr>
  </w:style>
  <w:style w:type="paragraph" w:styleId="Heading3">
    <w:name w:val="heading 3"/>
    <w:basedOn w:val="Normal"/>
    <w:next w:val="Normal"/>
    <w:link w:val="Heading3Char"/>
    <w:uiPriority w:val="99"/>
    <w:qFormat/>
    <w:rsid w:val="00D45DFE"/>
    <w:pPr>
      <w:keepNext/>
      <w:spacing w:line="360" w:lineRule="auto"/>
      <w:jc w:val="both"/>
      <w:outlineLvl w:val="2"/>
    </w:pPr>
    <w:rPr>
      <w:rFonts w:eastAsia="Times New Roman"/>
      <w:b/>
      <w: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5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0">
    <w:name w:val="CM10"/>
    <w:basedOn w:val="Normal"/>
    <w:next w:val="Normal"/>
    <w:rsid w:val="00705766"/>
    <w:pPr>
      <w:autoSpaceDE w:val="0"/>
      <w:autoSpaceDN w:val="0"/>
      <w:adjustRightInd w:val="0"/>
      <w:spacing w:after="125"/>
    </w:pPr>
    <w:rPr>
      <w:rFonts w:eastAsia="MS Mincho"/>
      <w:lang w:eastAsia="ja-JP"/>
    </w:rPr>
  </w:style>
  <w:style w:type="paragraph" w:styleId="Header">
    <w:name w:val="header"/>
    <w:basedOn w:val="Normal"/>
    <w:link w:val="HeaderChar"/>
    <w:uiPriority w:val="99"/>
    <w:rsid w:val="006C2DED"/>
    <w:pPr>
      <w:tabs>
        <w:tab w:val="center" w:pos="4680"/>
        <w:tab w:val="right" w:pos="9360"/>
      </w:tabs>
    </w:pPr>
  </w:style>
  <w:style w:type="character" w:customStyle="1" w:styleId="HeaderChar">
    <w:name w:val="Header Char"/>
    <w:basedOn w:val="DefaultParagraphFont"/>
    <w:link w:val="Header"/>
    <w:uiPriority w:val="99"/>
    <w:rsid w:val="006C2DED"/>
    <w:rPr>
      <w:rFonts w:eastAsia="SimSun"/>
      <w:lang w:eastAsia="zh-CN"/>
    </w:rPr>
  </w:style>
  <w:style w:type="paragraph" w:styleId="Footer">
    <w:name w:val="footer"/>
    <w:basedOn w:val="Normal"/>
    <w:link w:val="FooterChar"/>
    <w:uiPriority w:val="99"/>
    <w:rsid w:val="006C2DED"/>
    <w:pPr>
      <w:tabs>
        <w:tab w:val="center" w:pos="4680"/>
        <w:tab w:val="right" w:pos="9360"/>
      </w:tabs>
    </w:pPr>
  </w:style>
  <w:style w:type="character" w:customStyle="1" w:styleId="FooterChar">
    <w:name w:val="Footer Char"/>
    <w:basedOn w:val="DefaultParagraphFont"/>
    <w:link w:val="Footer"/>
    <w:uiPriority w:val="99"/>
    <w:rsid w:val="006C2DED"/>
    <w:rPr>
      <w:rFonts w:eastAsia="SimSun"/>
      <w:lang w:eastAsia="zh-CN"/>
    </w:rPr>
  </w:style>
  <w:style w:type="paragraph" w:styleId="BalloonText">
    <w:name w:val="Balloon Text"/>
    <w:basedOn w:val="Normal"/>
    <w:link w:val="BalloonTextChar"/>
    <w:uiPriority w:val="99"/>
    <w:rsid w:val="006C2DED"/>
    <w:rPr>
      <w:rFonts w:ascii="Tahoma" w:hAnsi="Tahoma" w:cs="Tahoma"/>
      <w:sz w:val="16"/>
      <w:szCs w:val="16"/>
    </w:rPr>
  </w:style>
  <w:style w:type="character" w:customStyle="1" w:styleId="BalloonTextChar">
    <w:name w:val="Balloon Text Char"/>
    <w:basedOn w:val="DefaultParagraphFont"/>
    <w:link w:val="BalloonText"/>
    <w:uiPriority w:val="99"/>
    <w:rsid w:val="006C2DED"/>
    <w:rPr>
      <w:rFonts w:ascii="Tahoma" w:eastAsia="SimSun" w:hAnsi="Tahoma" w:cs="Tahoma"/>
      <w:sz w:val="16"/>
      <w:szCs w:val="16"/>
      <w:lang w:eastAsia="zh-CN"/>
    </w:rPr>
  </w:style>
  <w:style w:type="paragraph" w:styleId="FootnoteText">
    <w:name w:val="footnote text"/>
    <w:basedOn w:val="Normal"/>
    <w:link w:val="FootnoteTextChar"/>
    <w:rsid w:val="006C2DED"/>
    <w:rPr>
      <w:lang w:val="en-GB" w:eastAsia="en-US"/>
    </w:rPr>
  </w:style>
  <w:style w:type="character" w:customStyle="1" w:styleId="FootnoteTextChar">
    <w:name w:val="Footnote Text Char"/>
    <w:basedOn w:val="DefaultParagraphFont"/>
    <w:link w:val="FootnoteText"/>
    <w:rsid w:val="006C2DED"/>
    <w:rPr>
      <w:rFonts w:eastAsia="SimSun"/>
      <w:lang w:val="en-GB"/>
    </w:rPr>
  </w:style>
  <w:style w:type="character" w:styleId="FootnoteReference">
    <w:name w:val="footnote reference"/>
    <w:basedOn w:val="DefaultParagraphFont"/>
    <w:rsid w:val="006C2DED"/>
    <w:rPr>
      <w:rFonts w:cs="Times New Roman"/>
      <w:vertAlign w:val="superscript"/>
    </w:rPr>
  </w:style>
  <w:style w:type="paragraph" w:styleId="ListParagraph">
    <w:name w:val="List Paragraph"/>
    <w:basedOn w:val="Normal"/>
    <w:uiPriority w:val="34"/>
    <w:qFormat/>
    <w:rsid w:val="006C2DED"/>
    <w:pPr>
      <w:spacing w:after="200" w:line="276" w:lineRule="auto"/>
      <w:ind w:left="720"/>
      <w:contextualSpacing/>
    </w:pPr>
    <w:rPr>
      <w:rFonts w:ascii="Calibri" w:eastAsia="Times New Roman" w:hAnsi="Calibri"/>
      <w:sz w:val="22"/>
      <w:szCs w:val="22"/>
      <w:lang w:eastAsia="en-US"/>
    </w:rPr>
  </w:style>
  <w:style w:type="character" w:customStyle="1" w:styleId="Heading3Char">
    <w:name w:val="Heading 3 Char"/>
    <w:basedOn w:val="DefaultParagraphFont"/>
    <w:link w:val="Heading3"/>
    <w:uiPriority w:val="99"/>
    <w:rsid w:val="00D45DFE"/>
    <w:rPr>
      <w:b/>
      <w:i/>
      <w:sz w:val="24"/>
      <w:szCs w:val="22"/>
      <w:lang w:eastAsia="en-US"/>
    </w:rPr>
  </w:style>
  <w:style w:type="character" w:customStyle="1" w:styleId="FootnoteCharacters">
    <w:name w:val="Footnote Characters"/>
    <w:basedOn w:val="DefaultParagraphFont"/>
    <w:rsid w:val="00D45DFE"/>
    <w:rPr>
      <w:vertAlign w:val="superscript"/>
    </w:rPr>
  </w:style>
  <w:style w:type="character" w:styleId="Hyperlink">
    <w:name w:val="Hyperlink"/>
    <w:basedOn w:val="DefaultParagraphFont"/>
    <w:unhideWhenUsed/>
    <w:rsid w:val="00D45DFE"/>
    <w:rPr>
      <w:color w:val="0000FF"/>
      <w:u w:val="single"/>
    </w:rPr>
  </w:style>
  <w:style w:type="paragraph" w:styleId="NormalWeb">
    <w:name w:val="Normal (Web)"/>
    <w:basedOn w:val="Normal"/>
    <w:uiPriority w:val="99"/>
    <w:unhideWhenUsed/>
    <w:rsid w:val="00D45DFE"/>
    <w:pPr>
      <w:spacing w:before="100" w:beforeAutospacing="1" w:after="100" w:afterAutospacing="1"/>
    </w:pPr>
    <w:rPr>
      <w:rFonts w:eastAsia="Times New Roman"/>
      <w:sz w:val="24"/>
      <w:szCs w:val="24"/>
      <w:lang w:eastAsia="en-US"/>
    </w:rPr>
  </w:style>
  <w:style w:type="character" w:customStyle="1" w:styleId="apple-style-span">
    <w:name w:val="apple-style-span"/>
    <w:basedOn w:val="DefaultParagraphFont"/>
    <w:rsid w:val="00D45DFE"/>
  </w:style>
  <w:style w:type="paragraph" w:styleId="Title">
    <w:name w:val="Title"/>
    <w:basedOn w:val="Normal"/>
    <w:link w:val="TitleChar"/>
    <w:uiPriority w:val="99"/>
    <w:qFormat/>
    <w:rsid w:val="00D45DFE"/>
    <w:pPr>
      <w:jc w:val="center"/>
    </w:pPr>
    <w:rPr>
      <w:b/>
      <w:sz w:val="24"/>
      <w:lang w:val="en-GB" w:eastAsia="en-US"/>
    </w:rPr>
  </w:style>
  <w:style w:type="character" w:customStyle="1" w:styleId="TitleChar">
    <w:name w:val="Title Char"/>
    <w:basedOn w:val="DefaultParagraphFont"/>
    <w:link w:val="Title"/>
    <w:uiPriority w:val="99"/>
    <w:rsid w:val="00D45DFE"/>
    <w:rPr>
      <w:rFonts w:eastAsia="SimSun"/>
      <w:b/>
      <w:sz w:val="24"/>
      <w:lang w:val="en-GB" w:eastAsia="en-US"/>
    </w:rPr>
  </w:style>
  <w:style w:type="paragraph" w:customStyle="1" w:styleId="Default">
    <w:name w:val="Default"/>
    <w:rsid w:val="00D45DFE"/>
    <w:pPr>
      <w:autoSpaceDE w:val="0"/>
      <w:autoSpaceDN w:val="0"/>
      <w:adjustRightInd w:val="0"/>
    </w:pPr>
    <w:rPr>
      <w:rFonts w:ascii="Arial" w:eastAsia="SimSun" w:hAnsi="Arial" w:cs="Arial"/>
      <w:lang w:eastAsia="en-US"/>
    </w:rPr>
  </w:style>
  <w:style w:type="paragraph" w:styleId="BodyText">
    <w:name w:val="Body Text"/>
    <w:basedOn w:val="Normal"/>
    <w:link w:val="BodyTextChar"/>
    <w:rsid w:val="00D45DFE"/>
    <w:pPr>
      <w:spacing w:line="480" w:lineRule="auto"/>
      <w:jc w:val="both"/>
    </w:pPr>
    <w:rPr>
      <w:rFonts w:eastAsia="Times New Roman"/>
      <w:sz w:val="24"/>
      <w:lang w:eastAsia="en-US"/>
    </w:rPr>
  </w:style>
  <w:style w:type="character" w:customStyle="1" w:styleId="BodyTextChar">
    <w:name w:val="Body Text Char"/>
    <w:basedOn w:val="DefaultParagraphFont"/>
    <w:link w:val="BodyText"/>
    <w:rsid w:val="00D45DFE"/>
    <w:rPr>
      <w:sz w:val="24"/>
      <w:lang w:eastAsia="en-US"/>
    </w:rPr>
  </w:style>
  <w:style w:type="paragraph" w:styleId="HTMLPreformatted">
    <w:name w:val="HTML Preformatted"/>
    <w:basedOn w:val="Normal"/>
    <w:link w:val="HTMLPreformattedChar"/>
    <w:uiPriority w:val="99"/>
    <w:rsid w:val="00BC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BC58DC"/>
    <w:rPr>
      <w:rFonts w:ascii="Courier New" w:eastAsia="SimSun" w:hAnsi="Courier New" w:cs="Courier New"/>
      <w:color w:val="000000"/>
    </w:rPr>
  </w:style>
  <w:style w:type="paragraph" w:styleId="BodyTextIndent2">
    <w:name w:val="Body Text Indent 2"/>
    <w:basedOn w:val="Normal"/>
    <w:link w:val="BodyTextIndent2Char"/>
    <w:rsid w:val="00A3261F"/>
    <w:pPr>
      <w:spacing w:after="120" w:line="480" w:lineRule="auto"/>
      <w:ind w:left="360"/>
    </w:pPr>
  </w:style>
  <w:style w:type="character" w:customStyle="1" w:styleId="BodyTextIndent2Char">
    <w:name w:val="Body Text Indent 2 Char"/>
    <w:basedOn w:val="DefaultParagraphFont"/>
    <w:link w:val="BodyTextIndent2"/>
    <w:rsid w:val="00A3261F"/>
    <w:rPr>
      <w:rFonts w:eastAsia="SimSun"/>
    </w:rPr>
  </w:style>
  <w:style w:type="paragraph" w:styleId="BodyTextIndent">
    <w:name w:val="Body Text Indent"/>
    <w:basedOn w:val="Normal"/>
    <w:link w:val="BodyTextIndentChar"/>
    <w:rsid w:val="00A3261F"/>
    <w:pPr>
      <w:spacing w:after="120"/>
      <w:ind w:left="360"/>
    </w:pPr>
  </w:style>
  <w:style w:type="character" w:customStyle="1" w:styleId="BodyTextIndentChar">
    <w:name w:val="Body Text Indent Char"/>
    <w:basedOn w:val="DefaultParagraphFont"/>
    <w:link w:val="BodyTextIndent"/>
    <w:rsid w:val="00A3261F"/>
    <w:rPr>
      <w:rFonts w:eastAsia="SimSun"/>
    </w:rPr>
  </w:style>
  <w:style w:type="character" w:styleId="Strong">
    <w:name w:val="Strong"/>
    <w:basedOn w:val="DefaultParagraphFont"/>
    <w:uiPriority w:val="22"/>
    <w:qFormat/>
    <w:rsid w:val="000E3335"/>
    <w:rPr>
      <w:b/>
      <w:bCs/>
    </w:rPr>
  </w:style>
  <w:style w:type="character" w:styleId="Emphasis">
    <w:name w:val="Emphasis"/>
    <w:basedOn w:val="DefaultParagraphFont"/>
    <w:uiPriority w:val="20"/>
    <w:qFormat/>
    <w:rsid w:val="00FB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7142">
      <w:bodyDiv w:val="1"/>
      <w:marLeft w:val="0"/>
      <w:marRight w:val="0"/>
      <w:marTop w:val="0"/>
      <w:marBottom w:val="0"/>
      <w:divBdr>
        <w:top w:val="none" w:sz="0" w:space="0" w:color="auto"/>
        <w:left w:val="none" w:sz="0" w:space="0" w:color="auto"/>
        <w:bottom w:val="none" w:sz="0" w:space="0" w:color="auto"/>
        <w:right w:val="none" w:sz="0" w:space="0" w:color="auto"/>
      </w:divBdr>
    </w:div>
    <w:div w:id="1944846858">
      <w:bodyDiv w:val="1"/>
      <w:marLeft w:val="0"/>
      <w:marRight w:val="0"/>
      <w:marTop w:val="0"/>
      <w:marBottom w:val="0"/>
      <w:divBdr>
        <w:top w:val="none" w:sz="0" w:space="0" w:color="auto"/>
        <w:left w:val="none" w:sz="0" w:space="0" w:color="auto"/>
        <w:bottom w:val="none" w:sz="0" w:space="0" w:color="auto"/>
        <w:right w:val="none" w:sz="0" w:space="0" w:color="auto"/>
      </w:divBdr>
      <w:divsChild>
        <w:div w:id="221212483">
          <w:marLeft w:val="0"/>
          <w:marRight w:val="0"/>
          <w:marTop w:val="0"/>
          <w:marBottom w:val="0"/>
          <w:divBdr>
            <w:top w:val="none" w:sz="0" w:space="0" w:color="auto"/>
            <w:left w:val="none" w:sz="0" w:space="0" w:color="auto"/>
            <w:bottom w:val="none" w:sz="0" w:space="0" w:color="auto"/>
            <w:right w:val="none" w:sz="0" w:space="0" w:color="auto"/>
          </w:divBdr>
          <w:divsChild>
            <w:div w:id="698816334">
              <w:marLeft w:val="0"/>
              <w:marRight w:val="0"/>
              <w:marTop w:val="100"/>
              <w:marBottom w:val="100"/>
              <w:divBdr>
                <w:top w:val="none" w:sz="0" w:space="0" w:color="auto"/>
                <w:left w:val="none" w:sz="0" w:space="0" w:color="auto"/>
                <w:bottom w:val="none" w:sz="0" w:space="0" w:color="auto"/>
                <w:right w:val="none" w:sz="0" w:space="0" w:color="auto"/>
              </w:divBdr>
              <w:divsChild>
                <w:div w:id="1501508826">
                  <w:marLeft w:val="0"/>
                  <w:marRight w:val="0"/>
                  <w:marTop w:val="0"/>
                  <w:marBottom w:val="0"/>
                  <w:divBdr>
                    <w:top w:val="none" w:sz="0" w:space="0" w:color="auto"/>
                    <w:left w:val="none" w:sz="0" w:space="0" w:color="auto"/>
                    <w:bottom w:val="none" w:sz="0" w:space="0" w:color="auto"/>
                    <w:right w:val="none" w:sz="0" w:space="0" w:color="auto"/>
                  </w:divBdr>
                  <w:divsChild>
                    <w:div w:id="1562906784">
                      <w:marLeft w:val="0"/>
                      <w:marRight w:val="0"/>
                      <w:marTop w:val="0"/>
                      <w:marBottom w:val="0"/>
                      <w:divBdr>
                        <w:top w:val="none" w:sz="0" w:space="0" w:color="auto"/>
                        <w:left w:val="none" w:sz="0" w:space="0" w:color="auto"/>
                        <w:bottom w:val="none" w:sz="0" w:space="0" w:color="auto"/>
                        <w:right w:val="none" w:sz="0" w:space="0" w:color="auto"/>
                      </w:divBdr>
                      <w:divsChild>
                        <w:div w:id="1328745585">
                          <w:marLeft w:val="0"/>
                          <w:marRight w:val="0"/>
                          <w:marTop w:val="0"/>
                          <w:marBottom w:val="0"/>
                          <w:divBdr>
                            <w:top w:val="single" w:sz="4" w:space="5" w:color="920101"/>
                            <w:left w:val="single" w:sz="4" w:space="5" w:color="920101"/>
                            <w:bottom w:val="single" w:sz="4" w:space="5" w:color="920101"/>
                            <w:right w:val="single" w:sz="4" w:space="5" w:color="92010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ms@usm.my" TargetMode="Externa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www.economist.com/node/17257797?story_id=17257797&amp;CFID=163214234&amp;CFTOKEN=64541760" TargetMode="External"/><Relationship Id="rId10" Type="http://schemas.openxmlformats.org/officeDocument/2006/relationships/hyperlink" Target="mailto:thchan@usm.my"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whooy@usm.my"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whooy@us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C129-C8E5-404B-A43B-A3EC54C6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Malaysia and China in the Liberalization Era: A Long-run Structural Modeling of International Parity Conditions</vt:lpstr>
    </vt:vector>
  </TitlesOfParts>
  <Company>Universiti Sains Malaysia</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and China in the Liberalization Era: A Long-run Structural Modeling of International Parity Conditions</dc:title>
  <dc:creator>user</dc:creator>
  <cp:lastModifiedBy>WIN7</cp:lastModifiedBy>
  <cp:revision>2</cp:revision>
  <dcterms:created xsi:type="dcterms:W3CDTF">2019-02-07T04:51:00Z</dcterms:created>
  <dcterms:modified xsi:type="dcterms:W3CDTF">2019-02-07T04:51:00Z</dcterms:modified>
</cp:coreProperties>
</file>