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D72741" w:rsidTr="00927675">
        <w:trPr>
          <w:trHeight w:val="1008"/>
          <w:jc w:val="center"/>
        </w:trPr>
        <w:tc>
          <w:tcPr>
            <w:tcW w:w="2347" w:type="dxa"/>
            <w:gridSpan w:val="2"/>
            <w:vMerge w:val="restart"/>
            <w:tcBorders>
              <w:top w:val="single" w:sz="18" w:space="0" w:color="auto"/>
              <w:right w:val="nil"/>
            </w:tcBorders>
            <w:vAlign w:val="center"/>
          </w:tcPr>
          <w:p w:rsidR="00D72741" w:rsidRDefault="00D72741" w:rsidP="009E2B42">
            <w:pPr>
              <w:ind w:left="-115"/>
            </w:pPr>
            <w:r>
              <w:rPr>
                <w:rFonts w:cs="Times New Roman"/>
                <w:noProof/>
                <w:lang w:eastAsia="zh-CN"/>
              </w:rPr>
              <w:drawing>
                <wp:inline distT="0" distB="0" distL="0" distR="0" wp14:anchorId="624DF22F" wp14:editId="6350D91A">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D72741" w:rsidRPr="006F56D7" w:rsidRDefault="00D72741" w:rsidP="007A0492">
            <w:pPr>
              <w:spacing w:before="280"/>
              <w:jc w:val="center"/>
              <w:rPr>
                <w:rFonts w:asciiTheme="majorBidi" w:hAnsiTheme="majorBidi" w:cstheme="majorBidi"/>
              </w:rPr>
            </w:pPr>
            <w:r w:rsidRPr="006F56D7">
              <w:rPr>
                <w:rFonts w:asciiTheme="majorBidi" w:hAnsiTheme="majorBidi" w:cstheme="majorBidi"/>
                <w:sz w:val="28"/>
                <w:szCs w:val="24"/>
              </w:rPr>
              <w:t xml:space="preserve">Journal of Advanced Research in </w:t>
            </w:r>
            <w:r w:rsidRPr="002A20BC">
              <w:rPr>
                <w:rFonts w:asciiTheme="majorBidi" w:hAnsiTheme="majorBidi" w:cstheme="majorBidi"/>
                <w:sz w:val="28"/>
                <w:szCs w:val="24"/>
              </w:rPr>
              <w:t>Fluid Mechanics and Thermal Sciences</w:t>
            </w:r>
          </w:p>
        </w:tc>
        <w:tc>
          <w:tcPr>
            <w:tcW w:w="2347" w:type="dxa"/>
            <w:gridSpan w:val="3"/>
            <w:vMerge w:val="restart"/>
            <w:tcBorders>
              <w:top w:val="single" w:sz="18" w:space="0" w:color="auto"/>
              <w:left w:val="nil"/>
            </w:tcBorders>
            <w:vAlign w:val="center"/>
          </w:tcPr>
          <w:p w:rsidR="00D72741" w:rsidRPr="006F672B" w:rsidRDefault="00D72741" w:rsidP="009E2B42">
            <w:pPr>
              <w:ind w:right="-115"/>
              <w:jc w:val="right"/>
            </w:pPr>
            <w:r w:rsidRPr="006F672B">
              <w:rPr>
                <w:noProof/>
                <w:lang w:eastAsia="zh-CN"/>
              </w:rPr>
              <w:drawing>
                <wp:inline distT="0" distB="0" distL="0" distR="0" wp14:anchorId="306F960C" wp14:editId="43DC1BF5">
                  <wp:extent cx="822960" cy="11594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1159434"/>
                          </a:xfrm>
                          <a:prstGeom prst="rect">
                            <a:avLst/>
                          </a:prstGeom>
                        </pic:spPr>
                      </pic:pic>
                    </a:graphicData>
                  </a:graphic>
                </wp:inline>
              </w:drawing>
            </w:r>
          </w:p>
        </w:tc>
      </w:tr>
      <w:tr w:rsidR="00D72741" w:rsidTr="00927675">
        <w:trPr>
          <w:trHeight w:val="20"/>
          <w:jc w:val="center"/>
        </w:trPr>
        <w:tc>
          <w:tcPr>
            <w:tcW w:w="2347" w:type="dxa"/>
            <w:gridSpan w:val="2"/>
            <w:vMerge/>
            <w:tcBorders>
              <w:bottom w:val="single" w:sz="18" w:space="0" w:color="auto"/>
              <w:right w:val="nil"/>
            </w:tcBorders>
          </w:tcPr>
          <w:p w:rsidR="00D72741" w:rsidRDefault="00D72741" w:rsidP="009E2B42"/>
        </w:tc>
        <w:tc>
          <w:tcPr>
            <w:tcW w:w="5040" w:type="dxa"/>
            <w:gridSpan w:val="2"/>
            <w:tcBorders>
              <w:top w:val="nil"/>
              <w:left w:val="nil"/>
              <w:bottom w:val="single" w:sz="18" w:space="0" w:color="auto"/>
              <w:right w:val="nil"/>
            </w:tcBorders>
            <w:vAlign w:val="center"/>
          </w:tcPr>
          <w:p w:rsidR="00D72741" w:rsidRDefault="00D72741" w:rsidP="007A0492">
            <w:pPr>
              <w:spacing w:before="120"/>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Pr>
                <w:color w:val="0070C0"/>
                <w:sz w:val="16"/>
                <w:szCs w:val="14"/>
              </w:rPr>
              <w:t>arfmts</w:t>
            </w:r>
            <w:r w:rsidRPr="00AF0F2F">
              <w:rPr>
                <w:color w:val="0070C0"/>
                <w:sz w:val="16"/>
                <w:szCs w:val="14"/>
              </w:rPr>
              <w:t>.html</w:t>
            </w:r>
          </w:p>
          <w:p w:rsidR="00D72741" w:rsidRPr="006F56D7" w:rsidRDefault="00D72741" w:rsidP="007A0492">
            <w:pPr>
              <w:jc w:val="center"/>
            </w:pPr>
            <w:r w:rsidRPr="00AF0F2F">
              <w:rPr>
                <w:sz w:val="16"/>
                <w:szCs w:val="14"/>
              </w:rPr>
              <w:t xml:space="preserve">ISSN: </w:t>
            </w:r>
            <w:r>
              <w:rPr>
                <w:sz w:val="16"/>
                <w:szCs w:val="14"/>
              </w:rPr>
              <w:t>2289-7879</w:t>
            </w:r>
          </w:p>
        </w:tc>
        <w:tc>
          <w:tcPr>
            <w:tcW w:w="2347" w:type="dxa"/>
            <w:gridSpan w:val="3"/>
            <w:vMerge/>
            <w:tcBorders>
              <w:left w:val="nil"/>
              <w:bottom w:val="single" w:sz="18" w:space="0" w:color="auto"/>
            </w:tcBorders>
          </w:tcPr>
          <w:p w:rsidR="00D72741" w:rsidRPr="006F672B" w:rsidRDefault="00D72741"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 xml:space="preserve">[1]. The last few decades have witnessed vast research on new types of heat transfer fluids, namely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is a fluid that contains nanometer-sized solid particles. The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was introduced by Choi [2] and it has been proven to give better heat transfer efficiency compared to conventional fluids.  Detailed reviews on the physical and thermal properties of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 xml:space="preserve">Second paragraph starts here. A </w:t>
      </w:r>
      <w:proofErr w:type="spellStart"/>
      <w:r w:rsidRPr="003D133A">
        <w:rPr>
          <w:rFonts w:cs="Times New Roman"/>
          <w:sz w:val="24"/>
          <w:szCs w:val="24"/>
          <w:lang w:val="en-US"/>
        </w:rPr>
        <w:t>nanofluid</w:t>
      </w:r>
      <w:proofErr w:type="spellEnd"/>
      <w:r w:rsidRPr="003D133A">
        <w:rPr>
          <w:rFonts w:cs="Times New Roman"/>
          <w:sz w:val="24"/>
          <w:szCs w:val="24"/>
          <w:lang w:val="en-US"/>
        </w:rPr>
        <w:t xml:space="preserve"> can be produced by dispersing metallic or non-metallic nanoparticles or </w:t>
      </w:r>
      <w:proofErr w:type="spellStart"/>
      <w:r w:rsidRPr="003D133A">
        <w:rPr>
          <w:rFonts w:cs="Times New Roman"/>
          <w:sz w:val="24"/>
          <w:szCs w:val="24"/>
          <w:lang w:val="en-US"/>
        </w:rPr>
        <w:t>nanofibers</w:t>
      </w:r>
      <w:proofErr w:type="spellEnd"/>
      <w:r w:rsidRPr="003D133A">
        <w:rPr>
          <w:rFonts w:cs="Times New Roman"/>
          <w:sz w:val="24"/>
          <w:szCs w:val="24"/>
          <w:lang w:val="en-US"/>
        </w:rPr>
        <w:t xml:space="preserve">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proofErr w:type="gramStart"/>
      <w:r w:rsidRPr="00DE1281">
        <w:rPr>
          <w:rFonts w:cs="Times New Roman"/>
          <w:b/>
          <w:lang w:val="en-US"/>
        </w:rPr>
        <w:t>Fig. 1.</w:t>
      </w:r>
      <w:proofErr w:type="gramEnd"/>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proofErr w:type="gramStart"/>
      <w:r w:rsidRPr="00DE1281">
        <w:rPr>
          <w:rFonts w:cs="Times New Roman"/>
          <w:b/>
          <w:lang w:val="en-US"/>
        </w:rPr>
        <w:t>Fig. 2.</w:t>
      </w:r>
      <w:proofErr w:type="gramEnd"/>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w:t>
      </w:r>
      <w:proofErr w:type="spellStart"/>
      <w:r w:rsidRPr="0049671B">
        <w:rPr>
          <w:rFonts w:cs="Times New Roman"/>
          <w:sz w:val="24"/>
          <w:szCs w:val="24"/>
          <w:lang w:val="en-US"/>
        </w:rPr>
        <w:t>chordwise</w:t>
      </w:r>
      <w:proofErr w:type="spellEnd"/>
      <w:r w:rsidRPr="0049671B">
        <w:rPr>
          <w:rFonts w:cs="Times New Roman"/>
          <w:sz w:val="24"/>
          <w:szCs w:val="24"/>
          <w:lang w:val="en-US"/>
        </w:rPr>
        <w:t xml:space="preserv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proofErr w:type="gramStart"/>
      <w:r>
        <w:rPr>
          <w:rFonts w:eastAsia="Times New Roman"/>
          <w:sz w:val="24"/>
          <w:szCs w:val="24"/>
        </w:rPr>
        <w:t>w</w:t>
      </w:r>
      <w:r w:rsidR="00AA5F9D" w:rsidRPr="005D37D0">
        <w:rPr>
          <w:rFonts w:eastAsia="Times New Roman"/>
          <w:sz w:val="24"/>
          <w:szCs w:val="24"/>
        </w:rPr>
        <w:t>here</w:t>
      </w:r>
      <w:proofErr w:type="gramEnd"/>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"The effect of edge profile on delta wing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w:t>
      </w:r>
      <w:proofErr w:type="spellStart"/>
      <w:r w:rsidRPr="000F794A">
        <w:rPr>
          <w:color w:val="000000" w:themeColor="text1"/>
          <w:sz w:val="20"/>
          <w:szCs w:val="20"/>
          <w:shd w:val="clear" w:color="auto" w:fill="FFFFFF"/>
        </w:rPr>
        <w:t>Latif</w:t>
      </w:r>
      <w:proofErr w:type="spellEnd"/>
      <w:r w:rsidRPr="000F794A">
        <w:rPr>
          <w:color w:val="000000" w:themeColor="text1"/>
          <w:sz w:val="20"/>
          <w:szCs w:val="20"/>
          <w:shd w:val="clear" w:color="auto" w:fill="FFFFFF"/>
        </w:rPr>
        <w:t xml:space="preserve">,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"PSP and PIV investigations on the VFE-2 configuration in sub-and transonic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8C" w:rsidRDefault="00AD018C" w:rsidP="00307DBE">
      <w:pPr>
        <w:spacing w:after="0" w:line="240" w:lineRule="auto"/>
      </w:pPr>
      <w:r>
        <w:separator/>
      </w:r>
    </w:p>
  </w:endnote>
  <w:endnote w:type="continuationSeparator" w:id="0">
    <w:p w:rsidR="00AD018C" w:rsidRDefault="00AD018C"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41" w:rsidRDefault="00D72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18</w:t>
        </w:r>
        <w:r>
          <w:rPr>
            <w:noProof/>
          </w:rPr>
          <w:fldChar w:fldCharType="end"/>
        </w:r>
      </w:p>
    </w:sdtContent>
  </w:sdt>
  <w:p w:rsidR="00DE1281" w:rsidRDefault="00DE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8C" w:rsidRDefault="00AD018C" w:rsidP="00307DBE">
      <w:pPr>
        <w:spacing w:after="0" w:line="240" w:lineRule="auto"/>
      </w:pPr>
      <w:r>
        <w:separator/>
      </w:r>
    </w:p>
  </w:footnote>
  <w:footnote w:type="continuationSeparator" w:id="0">
    <w:p w:rsidR="00AD018C" w:rsidRDefault="00AD018C"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proofErr w:type="gramStart"/>
      <w:r>
        <w:rPr>
          <w:rFonts w:asciiTheme="minorHAnsi" w:hAnsiTheme="minorHAnsi"/>
          <w:i/>
          <w:iCs/>
        </w:rPr>
        <w:t>Corresponding author.</w:t>
      </w:r>
      <w:proofErr w:type="gramEnd"/>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41" w:rsidRDefault="00D72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bookmarkStart w:id="0" w:name="_GoBack"/>
    <w:bookmarkEnd w:id="0"/>
    <w:r w:rsidR="00D72741" w:rsidRPr="00B674CE">
      <w:rPr>
        <w:rFonts w:ascii="Times New Roman" w:eastAsia="Calibri" w:hAnsi="Times New Roman" w:cs="Arial"/>
        <w:i/>
        <w:iCs/>
        <w:sz w:val="16"/>
        <w:szCs w:val="14"/>
        <w:lang w:val="en-GB"/>
      </w:rPr>
      <w:t xml:space="preserve">in </w:t>
    </w:r>
    <w:r w:rsidR="00D72741" w:rsidRPr="00FE4229">
      <w:rPr>
        <w:rFonts w:ascii="Times New Roman" w:eastAsia="Calibri" w:hAnsi="Times New Roman" w:cs="Arial"/>
        <w:i/>
        <w:iCs/>
        <w:sz w:val="16"/>
        <w:szCs w:val="14"/>
        <w:lang w:val="en-GB"/>
      </w:rPr>
      <w:t>Fluid Mechanics and Thermal Sciences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D72741" w:rsidRPr="00B674CE">
      <w:rPr>
        <w:rFonts w:ascii="Times New Roman" w:eastAsia="Calibri" w:hAnsi="Times New Roman" w:cs="Arial"/>
        <w:i/>
        <w:iCs/>
        <w:sz w:val="16"/>
        <w:szCs w:val="14"/>
        <w:lang w:val="en-GB"/>
      </w:rPr>
      <w:t xml:space="preserve">in </w:t>
    </w:r>
    <w:r w:rsidR="00D72741" w:rsidRPr="00FE4229">
      <w:rPr>
        <w:rFonts w:ascii="Times New Roman" w:eastAsia="Calibri" w:hAnsi="Times New Roman" w:cs="Arial"/>
        <w:i/>
        <w:iCs/>
        <w:sz w:val="16"/>
        <w:szCs w:val="14"/>
        <w:lang w:val="en-GB"/>
      </w:rPr>
      <w:t>Fluid Mechanics and Thermal Sciences</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1DA9-1BC4-49B9-9DF5-FD59CF28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3</cp:revision>
  <cp:lastPrinted>2016-12-23T01:28:00Z</cp:lastPrinted>
  <dcterms:created xsi:type="dcterms:W3CDTF">2018-04-09T06:24:00Z</dcterms:created>
  <dcterms:modified xsi:type="dcterms:W3CDTF">2018-04-09T06:25:00Z</dcterms:modified>
</cp:coreProperties>
</file>